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ATA/1088/2017 vom 12. Juli 2017</w:t>
      </w:r>
    </w:p>
    <w:p>
      <w:r>
        <w:t>GE Cour de justice, 2017-07-12, FR</w:t>
      </w:r>
    </w:p>
    <w:p>
      <w:r>
        <w:rPr>
          <w:b/>
        </w:rPr>
        <w:t xml:space="preserve">Quelle: </w:t>
      </w:r>
      <w:r>
        <w:t>https://mcp.opencaselaw.ch/entscheid/ge_gerichte_ATA_1088_2017</w:t>
      </w:r>
    </w:p>
    <w:p>
      <w:r>
        <w:t>FR: GE_GERICHTE ATA/1088/2017 du 12 juillet 2017</w:t>
      </w:r>
    </w:p>
    <w:p>
      <w:r>
        <w:t>IT: GE_GERICHTE ATA/1088/2017 del 12 luglio 2017</w:t>
      </w:r>
    </w:p>
    <w:p>
      <w:pPr>
        <w:pStyle w:val="Heading2"/>
      </w:pPr>
      <w:r>
        <w:t>Erwägungen</w:t>
      </w:r>
    </w:p>
    <w:p>
      <w:r>
        <w:rPr>
          <w:b/>
        </w:rPr>
        <w:t>E. 12</w:t>
      </w:r>
    </w:p>
    <w:p>
      <w:r>
        <w:t>septembre 1985 - LPA - E 5 10 ; art. 10 al. 1 de la loi d'application de la LEtr du 16 juin 1988 - LaLEtr - F 2 10). 2)</w:t>
      </w:r>
    </w:p>
    <w:p>
      <w:r>
        <w:t>Selon l’art. 10 al. 2 LaLEtr, la chambre administrative doit statuer dans les dix jours qui suivent sa saisine. Ayant reçu le recours le 5 juillet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5) 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w:t>
      </w:r>
    </w:p>
    <w:p>
      <w:r>
        <w:t>Cette disposition étant calquée sur l'art. 13a let. e de l'ancienne loi fédérale sur le séjour et l’établissement des étrangers du 26 mars 1931 (aLSEE), il</w:t>
      </w:r>
    </w:p>
    <w:p>
      <w:r>
        <w:t>- 7/10 - A/2608/2017 convient dès lors de s'inspirer de la jurisprudence y relative (arrêt du Tribunal fédéral 2C_293/2012 du 18 avril 2012 consid. 4.2 et les références citées).</w:t>
      </w:r>
    </w:p>
    <w:p>
      <w:r>
        <w:t>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6)</w:t>
      </w:r>
    </w:p>
    <w:p>
      <w:r>
        <w:t>En l’espèce, le recourant ne met pas en cause les motifs de sa mise en détention administrative, lesquels ont déjà été confirmés par la chambre de céans le 24 avril 2017. Il fait l’objet d’une décision de renvoi de Suisse qui est définitive et exécutoire. Il a à plusieurs reprises refusé de collaborer et disparu. Il a de même été condamné à plusieurs reprises pour consommation et trafic de stupéfiants et ne justifie pas l’existence de revenus licites en Suisse. Enfin, aucun fait nouveau n'est intervenu depuis sa mise en détention qui justifierait un revirement sur cette question. 7) 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- 8/10 - A/2608/2017</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w:t>
      </w:r>
    </w:p>
    <w:p>
      <w:r>
        <w:t>En l’espèce, les deux éléments mis en avant par le recourant pour contester le jugement litigieux du point de vue des principes rappelés ci-dessus doivent être écartés.</w:t>
      </w:r>
    </w:p>
    <w:p>
      <w:r>
        <w:t>S’il est exact que, en l’état du dossier, aucune copie d’un laissez-passer n’y figure, il n’en reste pas moins qu’il est démontré que les démarches nécessaires à l’obtention de ce document sont en cours, et que ce document, conformément à la pratique, ne sera quoi qu'il en soit délivré que quelques jours avant le vol spécial prévu en septembre, dont l'existence est confirmée par le SEM.</w:t>
      </w:r>
    </w:p>
    <w:p>
      <w:r>
        <w:t>En dernier lieu, le vœu du recourant d’être remis en liberté pour quitter la Suisse à bref délai à destination du pays de son choix ne peut en aucun cas être exaucé, dès lors que l’intéressé ne dispose d’aucun titre de séjour dans un quelconque pays limitrophe de la Suisse, et que la Confédération helvétique serait en conséquence obligée de le réadmettre s’il partait vers l’un de ces pays.</w:t>
      </w:r>
    </w:p>
    <w:p>
      <w:r>
        <w:t>Il sied de relever que dans la mesure où ces points avaient déjà été expressément traités dans l'arrêt de la chambre de céans du 24 avril 2017, et qu'aucun élément nouveau n'est avancé, le présent recours confine à la témérité. 9)</w:t>
      </w:r>
    </w:p>
    <w:p>
      <w:r>
        <w:t>Vu ce qui précède, le jugement attaqué est conforme au droit et le recours sera rejeté. 10) Vu la nature du litige, il ne sera pas perçu d’émolument (art. 12 du règlement sur les frais, émoluments et indemnités en procédure administrative du 30 juillet 1986 - RFPA - E 5 10.03). Vu son issue, aucune indemnité de procédure ne sera allouée (art. 87 al. 2 LPA).</w:t>
      </w:r>
    </w:p>
    <w:p>
      <w:r>
        <w:t>* * * * *</w:t>
      </w:r>
    </w:p>
    <w:p>
      <w:r>
        <w:t>- 9/10 - A/2608/2017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