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ATA/1087/2018 vom 16. Oktober 2018</w:t>
      </w:r>
    </w:p>
    <w:p>
      <w:r>
        <w:t>GE Cour de justice, 2018-10-16, FR</w:t>
      </w:r>
    </w:p>
    <w:p>
      <w:r>
        <w:rPr>
          <w:b/>
        </w:rPr>
        <w:t xml:space="preserve">Quelle: </w:t>
      </w:r>
      <w:r>
        <w:t>https://mcp.opencaselaw.ch/entscheid/ge_gerichte_ATA_1087_2018</w:t>
      </w:r>
    </w:p>
    <w:p>
      <w:r>
        <w:t>FR: GE_GERICHTE ATA/1087/2018 du 16 octobre 2018</w:t>
      </w:r>
    </w:p>
    <w:p>
      <w:r>
        <w:t>IT: GE_GERICHTE ATA/1087/2018 del 16 ottobre 2018</w:t>
      </w:r>
    </w:p>
    <w:p>
      <w:pPr>
        <w:pStyle w:val="Heading2"/>
      </w:pPr>
      <w:r>
        <w:t>Regeste</w:t>
      </w:r>
    </w:p>
    <w:p>
      <w:r>
        <w:t>Résumé: Recours d'un membre du personnel pénitentiaire, soumise à la LPAC et à ses règlements d'application. Examen successif des manquements reprochés à la recourante. Les circonstances particulières du cas ne justifiaient pas un licenciement.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 al. 1 LPAC).</w:t>
      </w:r>
    </w:p>
    <w:p>
      <w:r>
        <w:rPr>
          <w:b/>
        </w:rPr>
        <w:t>E. 2</w:t>
      </w:r>
    </w:p>
    <w:p>
      <w:r>
        <w:t>Le recours peut être formé pour violation du droit y compris l’excès et l’abus du pouvoir d’appréciation (art. 61 al. 1 let. a LPA) ainsi que pour constatation inexacte ou incomplète des faits pertinents (art. 61 al. 1 let. b LPA).</w:t>
      </w:r>
    </w:p>
    <w:p>
      <w:r>
        <w:t>Les juridictions administratives n’ont pas compétence pour apprécier l’opportunité de la décision attaquée, sauf exception prévue par la loi (art. 61 al. 2 LPA). Cette condition n’est pas réalisée en l’espèce.</w:t>
      </w:r>
    </w:p>
    <w:p>
      <w:r>
        <w:rPr>
          <w:b/>
        </w:rPr>
        <w:t>E. 3</w:t>
      </w:r>
    </w:p>
    <w:p>
      <w:r>
        <w:t>Le litige porte sur la conformité au droit de la décision de résiliation des rapports de service de la recourante pour motif fondé d’inaptitude à remplir les exigences du poste.</w:t>
      </w:r>
    </w:p>
    <w:p>
      <w:r>
        <w:t>La recourante considère que ladite décision repose sur une constatation inexacte des faits pertinents, ainsi que la violation du droit, notamment de l’art. 22 LPAC.</w:t>
      </w:r>
    </w:p>
    <w:p>
      <w:r>
        <w:t>- 23/31 - A/2790/2017</w:t>
      </w:r>
    </w:p>
    <w:p>
      <w:r>
        <w:rPr>
          <w:b/>
        </w:rPr>
        <w:t>E. 4</w:t>
      </w:r>
    </w:p>
    <w:p>
      <w:r>
        <w:t>a. La recourante, membre du personnel pénitentiaire ayant travaillé dans divers établissements pénitentiaires, est soumise à la LPAC et à ses règlements d’application, sous réserve des dispositions particulières de la LOPP (art. 1 al. 1 let. c LPAC ; art. 6 al. 1 LOPP) et du ROPP (art. 1 al. 1 ROPP).</w:t>
      </w:r>
    </w:p>
    <w:p>
      <w:r>
        <w:t>b. En matière de résiliation des rapports de service, les dispositions contenues dans la LOPP, entrée en vigueur le 1er mars 2017, relatives aux agents de détention qui sont confirmés dans leur fonction, notamment la résiliation pour motif fondé (art. 22 al. 3 let a à c LOPP) et les délais applicables (art. 22 al. 4 LOPP), sont analogues aux dispositions contenues dans la LPAC.</w:t>
      </w:r>
    </w:p>
    <w:p>
      <w:r>
        <w:t>c.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(ATA/589/2018 du 12 juin 2018 consid. 5 ; ATA/253/2018 du 20 mars 2018 consid. 4a ; MGC 2005-2006/XI A 10420).</w:t>
      </w:r>
    </w:p>
    <w:p>
      <w:r>
        <w:t>Les rapports de service étant soumis au droit public, la résiliation est en outre assujettie au respect des principes constitutionnels, en particulier ceux de la légalité, l’égalité de traitement, la proportionnalité et l’interdiction de l’arbitraire (ATA/589/2018 précité consid. 5 ; ATA/347/2016 du 26 août 2016 consid. 5e ; ATA/1343/2015 du 15 décembre 2015 consid. 8).</w:t>
      </w:r>
    </w:p>
    <w:p>
      <w:r>
        <w:t>- 24/31 - A/2790/2017</w:t>
      </w:r>
    </w:p>
    <w:p>
      <w:r>
        <w:t>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 ATA/932/2018 du 11 septembre 2018 consid. 6).</w:t>
      </w:r>
    </w:p>
    <w:p>
      <w:r>
        <w:t>d. À teneur de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w:t>
      </w:r>
    </w:p>
    <w:p>
      <w:r>
        <w:t>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la prison) ou qu’il soit propre à ébranler le rapport de confiance avec le supérieur (arrêt du Tribunal administratif fédéral A-897/2012 du 13 août 2012 consid. 6.3.2 ; ATA/287/2018 du 27 mars 2018 consid. 3b ; Valérie DÉFAGO GAUDIN, Conflits et fonction publique : instruments, in Jean-Philippe DUNAND/Pascal MAHON [éd.], Conflits au travail, 2015, p. 161-162).</w:t>
      </w:r>
    </w:p>
    <w:p>
      <w:r>
        <w:rPr>
          <w:b/>
        </w:rPr>
        <w:t>E. 5</w:t>
      </w:r>
    </w:p>
    <w:p>
      <w:r>
        <w:t>En l’espèce, l’entretien de service de la recourante du 27 juillet 2016, sur lequel l’intimé fonde sa décision de résilier les rapports de service, a porté sur des faits survenus entre 2009 et 2016, soit : les doléances à son égard d’une détenue en 2009, une altercation avec un collègue en 2010, sept rapports rédigés par des collègues à son encontre entre le 10 avril et le 16 juin 2013, l’utilisation de son téléphone professionnel et l’envoi d’un courriel depuis sa messagerie professionnelle pour contacter un collaborateur du SAPEM en novembre 2015 afin d’obtenir des informations au sujet d’une connaissance ; la découverte en 2016 par l’intimé d’une relation affective entre l’intéressée et un ancien détenu de la prison.</w:t>
      </w:r>
    </w:p>
    <w:p>
      <w:r>
        <w:rPr>
          <w:b/>
        </w:rPr>
        <w:t>E. 6</w:t>
      </w:r>
    </w:p>
    <w:p>
      <w:r>
        <w:t>Il convient d’examiner s’il existe un motif fondé de résiliation des rapports de service, soit une inaptitude à remplir les exigences du poste.</w:t>
      </w:r>
    </w:p>
    <w:p>
      <w:r>
        <w:rPr>
          <w:b/>
        </w:rPr>
        <w:t>E. 7</w:t>
      </w:r>
    </w:p>
    <w:p>
      <w:r>
        <w:t>a. La recourante a entamé sa carrière professionnelle au sein du département en 2002 et ses rapports de travail ont été résiliés en 2017, ce qui porte la durée de son engagement à plus de quinze ans, la période de stage étant incluse. Le comportement de l’intéressée n’a donné lieu à aucune sanction disciplinaire</w:t>
      </w:r>
    </w:p>
    <w:p>
      <w:r>
        <w:t>- 25/31 - A/2790/2017 durant ses quinze années de service à l’État, même si des défaillances quant à son fort caractère lui ont été reprochées au travers de différentes évaluations.</w:t>
      </w:r>
    </w:p>
    <w:p>
      <w:r>
        <w:t>L’intéressée a eu trois EEDC durant sa carrière, en vue d’être dotée du grade d’appointée en 2008, du grade de surveillante principale adjointe en 2012, et d’un transfert définitif à E______ en 2014. Ces trois évaluations ont attesté de l’engagement professionnel de la recourante et relevé la satisfaction de sa hiérarchie, tout en mettant en exergue son fort tempérament et lui demandant de l’ajuster. Il sied de constater que ces évaluations doivent être qualifiées de positives à l’égard du comportement et de l’engagement professionnel de la recourante, puisqu’elle a obtenu les deux grades susmentionnés ainsi que son transfert définitif à E______.</w:t>
      </w:r>
    </w:p>
    <w:p>
      <w:r>
        <w:t>b. À ce stade, la chambre de céans relève que les incidents du 8 septembre 2009 - soit une simple plainte d’une détenue au contenu non démontré - et du</w:t>
      </w:r>
    </w:p>
    <w:p>
      <w:r>
        <w:rPr>
          <w:b/>
        </w:rPr>
        <w:t>E. 10</w:t>
      </w:r>
    </w:p>
    <w:p>
      <w:r>
        <w:t>Dans le cadre d’un examen global de tous les éléments invoqués par l’intimé pour justifier la résiliation des rapports de service de la recourante, il convient d’admettre que la recourante a, dans l’ensemble, donné satisfaction dans l’exécution de ses tâches professionnelles, tout au long de sa carrière au sein des divers établissements où elle a travaillé et a régulièrement obtenu des promotions.</w:t>
      </w:r>
    </w:p>
    <w:p>
      <w:r>
        <w:t>Ainsi, au regard des circonstances particulières du cas, ses manquements et comportements inadéquats isolés dans le temps ne justifient pas, sous l’angle de la proportionnalité, un licenciement.</w:t>
      </w:r>
    </w:p>
    <w:p>
      <w:r>
        <w:t>Dès lors, la décision ne repose pas sur un motif fondé.</w:t>
      </w:r>
    </w:p>
    <w:p>
      <w:r>
        <w:rPr>
          <w:b/>
        </w:rPr>
        <w:t>E. 11</w:t>
      </w:r>
    </w:p>
    <w:p>
      <w:r>
        <w:t>En conséquence, le recours sera admis et la décision de résiliation des rapports de service de la recourante sera annulée et sa réintégration au sein de la fonction publique, dans sa fonction d’agente de détention sous le grade de surveillante principale adjointe, ordonnée (art. 31 al. 2 LPAC). Il reviendra à l’État de Genève de lui trouver un autre, nouveau, poste, si elle ne devait pas être réintégrée dans l’administration pénitentiaire.</w:t>
      </w:r>
    </w:p>
    <w:p>
      <w:r>
        <w:rPr>
          <w:b/>
        </w:rPr>
        <w:t>E. 12</w:t>
      </w:r>
    </w:p>
    <w:p>
      <w:r>
        <w:t>Vu l’issue du litige, aucun émolument ne sera perçu (art. 87 al. 1 LPA), et une indemnité de procédure de CHF 2’000.-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