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ATA/1085/2016 vom 20. Dezember 2016</w:t>
      </w:r>
    </w:p>
    <w:p>
      <w:r>
        <w:t>GE Cour de justice, 2016-12-20, FR</w:t>
      </w:r>
    </w:p>
    <w:p>
      <w:r>
        <w:rPr>
          <w:b/>
        </w:rPr>
        <w:t xml:space="preserve">Quelle: </w:t>
      </w:r>
      <w:r>
        <w:t>https://mcp.opencaselaw.ch/entscheid/ge_gerichte_ATA_1085_2016</w:t>
      </w:r>
    </w:p>
    <w:p>
      <w:r>
        <w:t>FR: GE_GERICHTE ATA/1085/2016 du 20 décembre 2016</w:t>
      </w:r>
    </w:p>
    <w:p>
      <w:r>
        <w:t>IT: GE_GERICHTE ATA/1085/2016 del 20 dicembre 2016</w:t>
      </w:r>
    </w:p>
    <w:p>
      <w:pPr>
        <w:pStyle w:val="Heading2"/>
      </w:pPr>
      <w:r>
        <w:t>Regeste</w:t>
      </w:r>
    </w:p>
    <w:p>
      <w:r>
        <w:t>Résumé: Un détenu ayant déjà subi une sanction disciplinaire en cellule forte conserve un intérêt à l'examen de son recours, dès lors qu'il se trouve encore en détention et que la situation pourrait à nouveau se présenter. En cas d'admission du recours, la chambre administrative constate l'illicéité de la sanction. En l'espèce, le comportement reproché au recourant, en l'occurrence les insultes envers des tiers et l'introduction d'un objet prohibé dans sa cellule, n'était pas établi.</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w:t>
      </w:r>
    </w:p>
    <w:p>
      <w:r>
        <w:t>- 11/17 - A/247/2015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En l’espèce, le recourant dispose d'un intérêt digne de protection à recourir contre les sanctions prononcées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(ATA/902/2016 du 25 octobre 2016), dès lors qu'il ne ressort pas du dossier que le recourant aurait quitté la prison à ce jour.</w:t>
      </w:r>
    </w:p>
    <w:p>
      <w:r>
        <w:t>Les recours sont donc recevables sous cet angle également. 3)</w:t>
      </w:r>
    </w:p>
    <w:p>
      <w:r>
        <w:t>Conformément à l’art. 70 al. 1 LPA, par décision du 4 mars 2015, la chambre de céans a prononcé la jonction des causes nos A/247/2015 et A/610/2015 sous le no A/247/2015. 4)</w:t>
      </w:r>
    </w:p>
    <w:p>
      <w:r>
        <w:t>Le recourant sollicite la production des décisions et des rapports de police non caviardés de sa sanction du 14 janvier 2015 et l'audition des gardiens qui étaient présents lors de la fouille.</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w:t>
      </w:r>
    </w:p>
    <w:p>
      <w:r>
        <w:t>b. En l'occurrence, le recourant a eu l’occasion de se déterminer par écrit devant la juridiction de céans sur les observations détaillées de l’autorité intimée. Par ailleurs, le directeur de la prison a, au cours de la présente procédure, produit les décisions et les rapports non caviardés se rapportant à la sanction en cause auxquels le recourant a eu accès. Au surplus, l'audition des gardiens présents lors</w:t>
      </w:r>
    </w:p>
    <w:p>
      <w:r>
        <w:t>- 12/17 - A/247/2015 de la fouille du 14 janvier 2015 n’est pas susceptible d’apporter des éléments supplémentaires pertinents qui ne figurent pas dans les rapports déjà établis.</w:t>
      </w:r>
    </w:p>
    <w:p>
      <w:r>
        <w:t>Le dossier étant complet et la chambre administrative disposant ainsi des éléments nécessaires pour statuer, elle ne donnera pas suite aux mesures d'instruction requises par le recourant. 5)</w:t>
      </w:r>
    </w:p>
    <w:p>
      <w:r>
        <w:t>Le recourant se plaint de ce que son placement en cellule forte pendant respectivement un jour et cinq jours serait infondé, dès lors que les injures qu’il aurait proférées le 9 décembre 2014 ne sont pas établies et qu’aucun fait ne lui est imputable lors de la découverte d’un téléphone et de son chargeur dans la cellule 1______, le 14 janvier 2015. 6)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(ATA/902/2016 précité ; Pierre MOOR/Étienne POLTIER, Droit administratif, vol. 2, 3ème éd., 2011, p. 142 à 145).</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 ATA/972/2015 du 22 septembre 2015). 7) a. 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w:t>
      </w:r>
    </w:p>
    <w:p>
      <w:r>
        <w:t>- 13/17 - A/247/2015 tranquillité de la prison (art. 45 let. h RRIP). Il est interdit au détenu de détenir d’autres objets que ceux qui lui sont remis (art. 45 let. e RRIP), d’introduire ou de faire introduire dans l’établissement d’autres objets que ceux autorisés par le directeur (art. 45 let. f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À teneur de l’art. 47 al. 3 RRIP, le directeur est compétent pour prononcer la suppression de visite pour quinze jours au plus (let. a) ; la suppression des promenades collectives (let. b) ; la suppression d’achat pour quinze jours au plus (let. c) ; la suppression de l’usage des moyens audiovisuels pour quinze jours au plus (let. d) ; la privation de travail (let. e) ; le placement en cellule forte pour dix jours au plus (let. f), étant précisé que ces sanctions peuvent se cumuler (art. 47 al. 4 RRIP). Il peut déléguer la compétence de prononcer les sanctions prévues à l'alinéa 3 à d'autres fonctionnaires gradés de la prison jusqu'au grade de sous-chef (art. 47 al. 5 RRIP). 8) a. De jurisprudence constante, la chambre de céans accorde généralement valeur probante aux constatations figurant dans un rapport de police, établi par des agents assermentés (ATA/902/2016 précité ; ATA/99/2014 du 18 février 2014), sauf si des éléments permettent de s’en écarter. Dès lors que les agents de détention sont également des fonctionnaires assermentés (art. 7 LOPP), le même raisonnement peut être appliqué aux rapports établis par ces derniers.</w:t>
      </w:r>
    </w:p>
    <w:p>
      <w:r>
        <w:t>b. Selon la doctrine, une injure peut être réalisée par un jugement de valeur offensant. Elle peut être formelle, notamment comme une simple expression du mépris. Elle peut également être un fait attentatoire à l’honneur allégué en s’adressant à la personne visée. Elle comporte aussi une composante subjective, soit l’intention de l’auteur (Bernard CORBOZ, Les infractions en droit suisse, 3ème éd., 2010, vol. 1, n. 9 ss ad art. 177 CP p. 622 ss). 9)</w:t>
      </w:r>
    </w:p>
    <w:p>
      <w:r>
        <w:t>En l'espèce, le recourant conteste ses placements en cellule forte respectivement du 9 décembre 2014 et du 14 janvier 2015.</w:t>
      </w:r>
    </w:p>
    <w:p>
      <w:r>
        <w:t>a. Il soutient que les injures en français qui lui sont attribuées en rapport avec l’incident du 9 décembre 2014 ne sont pas établies. Le directeur allègue, de son côté, que l’absence de spécification du type d’insultes proférées n’est pas déterminant, l’ensemble du contexte excluant tout doute possible au sujet de la tenue de propos insultants.</w:t>
      </w:r>
    </w:p>
    <w:p>
      <w:r>
        <w:t>Dans sa jurisprudence constante susrappelée, la chambre de céans accorde une valeur probante aux constatations figurant dans un rapport de police, encore</w:t>
      </w:r>
    </w:p>
    <w:p>
      <w:r>
        <w:t>- 14/17 - A/247/2015 faut-il que ces constatations permettent de qualifier le comportement reproché au détenu. Les trois rapports établis le 9 décembre 2014 respectivement par le DCS, un gardien de la prison et une autre personne non précisée ne font pas état du genre d’insultes qu’aurait adressé le recourant aux tiers. Le premier rapport décrit un contexte général au cours duquel, le recourant aurait été virulent et agressif, arraché sa perfusion, détaché un bout de métal de son masque à oxygène, ou continué à sonner et à demander l’intervention d’un médecin. Il aurait proféré des mots en arabe et des insultes en français. Néanmoins, aucune précision n’est donnée sur les insultes proférées en français. Par ailleurs, le second rapport décrit l’état de santé du recourant qui convulse au moment d’entrer en cellule forte à son premier retour des HUG. Cette situation a donné lieu à l’intervention d’un infirmier présent qui a décidé de reconduire le recourant aux HUG. Le troisième rapport se réfère aux modalités de la reconduction de l’intéressé dans la cellule forte après son deuxième retour de l’hôpital. Il n’apparaît pas ainsi que les rapports de police examinés contiennent des éléments pertinents qui permettent à la chambre de céans de se forger une opinion au sujet des insultes proférées et de se prononcer en connaissance de cause. Leur valeur probante sur ce point précis doit être relativisée, compte tenu des circonstances particulières du cas d’espèce.</w:t>
      </w:r>
    </w:p>
    <w:p>
      <w:r>
        <w:t>Le contexte général décrit par le rapport du DCS s’inscrit dans une situation particulière d’urgence médicale. Le directeur reconnaît du reste que ce contexte a provoqué un état de stress chez le recourant. En tenant compte du fait que celui-ci souffrait en plus de crises d’épilepsie liées à un stress psychologique, avait d’autres pathologies, comme les calculs rénaux, et une santé mentale fragile, le fait d’arracher sa perfusion et un métal de son masque à oxygène, de sonner à plusieurs reprises et d’appeler l’intervention d’un médecin peut s’expliquer comme une réaction de panique et de détresse qu’une volonté d’agression visant les convoyeurs ou les membres du personnel médical qui étaient présents au moment des faits. Le recourant n’a du reste pas été sanctionné pour trouble à l’ordre de l’établissement ou refus d’obtempérer aux ordres de ses gardiens, mais pour injures à des tiers. Ainsi, même le contexte général régnant au moment des faits ne permet pas de se rendre compte que le comportement du recourant recèle une volonté de sa part d’offenser ses interlocuteurs.</w:t>
      </w:r>
    </w:p>
    <w:p>
      <w:r>
        <w:t>Ainsi, dans la mesure où le comportement sanctionné du recourant n’était pas établi à satisfaction, la sanction qu’il a subie à ce titre n’était par conséquent pas conforme au droit.</w:t>
      </w:r>
    </w:p>
    <w:p>
      <w:r>
        <w:t>b. Le recourant soutient en outre qu’aucun reproche ne peut lui être fait au sujet de la découverte du téléphone prohibé dans la cellule 1______. D’une part, il n’était pas dans cette cellule au moment de la découverte du téléphone en cause et, d’autre part, les fouilles qui ont été effectuées sur lui et dans ses affaires n’ont rien donné. Le directeur soutient, de son côté, qu’un téléphone a été découvert dans la</w:t>
      </w:r>
    </w:p>
    <w:p>
      <w:r>
        <w:t>- 15/17 - A/247/2015 cellule occupée par le recourant et ses codétenus et qu’aucun d’entre eux ne s’est dénoncé comme possesseur de cet objet.</w:t>
      </w:r>
    </w:p>
    <w:p>
      <w:r>
        <w:t>Plusieurs éléments figurant dans le dossier permettent de nuancer l’appréciation du directeur au sujet de l’implication du recourant dans l’introduction du téléphone en cause dans la cellule fouillée et son utilisation par ce dernier.</w:t>
      </w:r>
    </w:p>
    <w:p>
      <w:r>
        <w:t>Ainsi, selon le courrier du directeur du 29 janvier 2015, le recourant était déjà en cellule forte du 12 au 18 janvier 2015 pour trouble à l’ordre de l’établissement. Il ressort en outre du dossier que ce dernier subissait des fouilles à nu après chaque parloir. Par ailleurs, il ressort également du dossier que lors d’une précédente fouille du 7 juillet 2014 dans la cellule 1______, alors que plusieurs objets prohibés ont été découverts, le recourant et un autre détenu, après leur audition, n’ont pas été sanctionnés. Il apparaît certes également, dans le dossier, que le recourant avait été sanctionné pour détention d’un objet prohibé en septembre 2013. Toutefois, aucun rapport au dossier ne précise de quel type d’objet il s’agissait à ce moment-là. Pourtant, dans les autres cas cités de découvertes d’objets interdits en cellule, soit le 7 juillet 2014 et le 14 janvier 2015, les rapports font état respectivement, d’une clé USB, d’un téléphone emballé dans l’aluminium, d’une clé de voiture, d’un chargeur et d’une lame de rasoir trafiquée, ainsi que d’un téléphone et de son chargeur. Par ailleurs, en tenant compte du fait que le recourant rencontrait son épouse au moins une fois par semaine, son intérêt à la détention d’un téléphone apparaît faible par rapport au risque d’être sanctionné en cas de sa découverte dans sa cellule.</w:t>
      </w:r>
    </w:p>
    <w:p>
      <w:r>
        <w:t>En tout état, la sanction disciplinaire prononcée ne peut pas être envisagée sous l’angle d’une punition collective en raison du principe de l’individualisation de la sanction. Le directeur de la prison a du reste justifié le placement en cellule forte du recourant non comme une sanction collective, mais comme une sanction individuelle, celui-ci ayant pu faire usage du téléphone en cause. Aucun indice ne vient cependant, dans le dossier, corroborer ce soupçon d’utilisation du téléphone en cause.</w:t>
      </w:r>
    </w:p>
    <w:p>
      <w:r>
        <w:t>Dans ces circonstances, le grief d’avoir été impliqué à tort dans l’introduction du téléphone en cause dans la cellule 1______ et dans son utilisation doit être considéré comme fondé. La sanction que le recourant a subie à ce titre n’était dès lors pas conforme au droit. 10) Les placements en cellule forte ayant été exécutés, il n’est matériellement plus possible de les annuler. La chambre de céans se limitera à constater leur caractère illicite (ATA/309/2016 du 12 avril 2016 ; ATA/238/2016 du 15 mars 2016). 11) Les considérants qui précédent conduisent à l’admission du recours.</w:t>
      </w:r>
    </w:p>
    <w:p>
      <w:r>
        <w:t>- 16/17 - A/247/2015 12) Vu la nature du litige, aucun émolument ne sera perçu (art. 87 al. 1 LPA ; art. 12 al. 1 du règlement sur les frais, émoluments et indemnités en procédure administrative du 30 juillet 1986 - RFPA - E 5 10.03). Dès lors qu’il y a conclu,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