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ATA/1083/2023 vom 3. Oktober 2023</w:t>
      </w:r>
    </w:p>
    <w:p>
      <w:r>
        <w:t>GE Cour de justice, 2023-10-03, FR</w:t>
      </w:r>
    </w:p>
    <w:p>
      <w:r>
        <w:rPr>
          <w:b/>
        </w:rPr>
        <w:t xml:space="preserve">Quelle: </w:t>
      </w:r>
      <w:r>
        <w:t>https://mcp.opencaselaw.ch/entscheid/ge_gerichte_ATA_1083_2023</w:t>
      </w:r>
    </w:p>
    <w:p>
      <w:r>
        <w:t>FR: GE_GERICHTE ATA/1083/2023 du 3 octobre 2023</w:t>
      </w:r>
    </w:p>
    <w:p>
      <w:r>
        <w:t>IT: GE_GERICHTE ATA/1083/2023 del 3 ottobre 2023</w:t>
      </w:r>
    </w:p>
    <w:p>
      <w:pPr>
        <w:pStyle w:val="Heading2"/>
      </w:pPr>
      <w:r>
        <w:t>Regeste</w:t>
      </w:r>
    </w:p>
    <w:p>
      <w:r>
        <w:t>Résumé: Selon l’ordonnance de non-entrée en matière du Ministère public, le permis de conduire nigérian présenté par le recourant est une contrefaçon. L'intéressé ne pouvait toutefois se voir reprocher d’avoir agi intentionnellement en produisant le titre contrefait dans la mesure où il s'était adressé à une autorité gouvernementale pour faire renouveler son permis de conduire et pouvait ainsi se fier de bonne foi au document transmis par celle-ci. Néanmoins, le document dont la reconnaissance est requise n’est pas valable ; le Ministère public a d’ailleurs ordonné sa confiscation et destruction. La reconnaissance d'un document falsifié heurterait l’ordre public ainsi que la sécurité du droit. Pas de violation du principe de l'égalité de traitement. L'autorité intimée était donc fondée à refuser de reconnaître le permis de conduire nigérian présenté par le recourant ainsi que l’interdiction de son usage.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art. 63 al. 1 let. b de la loi sur la procédure administrative du 12 septembre 1985 - LPA - E 5 10). 2. Est litigieuse la question de savoir si le permis de conduire nigérian de l’intimé doit être reconnu en Suisse. 2.1 Nul ne peut conduire un véhicule automobile sans être titulaire d'un permis de conduire ou, s'il effectue une course d'apprentissage, d'un permis d'élève conducteur (art. 10 al. 2 de la loi fédérale sur la circulation routière du 19 décembre 1958 - LCR - RS 741.01). 2.2 Aux termes de l’art. 42 al. 1 OAC, les conducteurs en provenance de l'étranger ne peuvent conduire des véhicules automobiles en Suisse que s'ils sont titulaires:</w:t>
      </w:r>
    </w:p>
    <w:p>
      <w:r>
        <w:t>- 7/10 - A/4130/2022 d'un permis de conduire national valable (let. a), ou d'un permis de conduire international valable prescrit par l’une des conventions mentionnées dans la disposition légale (let. b). Sont tenus d'obtenir un permis de conduire suisse, notamment, les conducteurs de véhicules automobiles en provenance de l'étranger qui résident depuis plus de douze mois en Suisse sans avoir séjourné plus de trois mois consécutifs à l'étranger (art. 42 al. 3bis let. a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Les conducteurs de voitures automobiles doivent effectuer la course de contrôle avec un véhicule de la catégorie permettant de conduire tous les véhicules des catégories inscrites dans le permis (art. 44 al. 1 ab initio OAC). 2.3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(art. 45 al. 1 OAC). En retirant le permis de conduire suisse, il faut toujours, le cas échéant, interdire simultanément l’usage du permis de conduire étranger (art. 45 al. 2 OAC). 2.4 Selon la jurisprudence, lorsque le permis de conduire étranger s’avère être un faux, sa reconnaissance et son échange avec un permis suisse ne sont pas possibles (arrêts du Tribunal fédéral 1C_277/2017 du 8 novembre 2017 consid. 5 ; 1C_441/2012 du 4 mars 2013 consid. 6.2 et 1C221/2008 du 8 décembre 2008 consid. 6, les deux derniers arrêts se rapportant à un faux permis de conduire nigérian). Par ailleurs, l’art. 45 al. 1 OAC trouve alors également application, quand bien même le texte de cette disposition ne vise pas spécifiquement l’hypothèse où le permis de conduire étranger est un faux (arrêts du Tribunal fédéral; 1C_441/2012 du 4 mars 2103 consid. 6.3.4). 2.5 De jurisprudence constante, la chambre administrative accorde généralement une pleine valeur probante aux constatations figurant dans un rapport de police, établi par des agents assermentés, sauf si des éléments permettent de s’en écarter (ATA/847/2018 du 21 août 2018 consid. 4b ; ATA/810/2016 du 27 septembre 2016 consid. 3d). 2.6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w:t>
      </w:r>
    </w:p>
    <w:p>
      <w:r>
        <w:t>- 8/10 - A/4130/2022 consid. 7a).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 temps, lorsque l'appréciation à laquelle le juge pénal s'est livré se heurte clairement aux faits constatés, ou encore lorsque le juge pénal ne s'est pas prononcé sur toutes les questions de droit (ATF 139 II 95 consid. 3.2 ; 136 II 447 consid. 3.1 ; 129 II 312 consid. 2.4). 2.7 En l’espèce, il ressort de l’ordonnance de non-entrée en matière du Ministère public du 23 mars 2023 que le permis de conduire nigérian présenté par le recourant est une contrefaçon. Ce constat repose sur l’analyse détaillée effectuée par la BPTS, dont le contenu a été porté à la connaissance de l’intimé au cours de la procédure qui s’est déroulée devant le TAPI. L’intéressé ne conteste d’ailleurs pas que le document soumis constitue une contrefaçon. Certes, l’autorité pénale a retenu que l’intimé, qui s’était adressé à une autorité gouvernementale pour faire renouveler son permis de conduire nigérian et pouvait ainsi se fier de bonne foi au document transmis par celle-ci, ne pouvait se voir reprocher d’avoir agi intentionnellement en produisant le titre contrefait. Cela étant, il n’en demeure pas moins que le document dont la reconnaissance est requise n’est pas valable ; le Ministère public a d’ailleurs ordonné sa confiscation et destruction. Dans ces conditions, la reconnaissance du document falsifié ne peut être prononcée. Une telle solution se heurte à l’ordre public ainsi qu’à la sécurité du droit. L’absence de comportement répréhensible de la part du conducteur étranger dans la confection ou production de la contrefaçon ne permet pas de guérir le vice dont celle-ci est affectée. Contrairement à ce que fait valoir le conducteur, en refusant de reconnaître un permis de conduire contrefait, l’OCV ne viole nullement le principe de l’égalité de traitement. En effet, le refus d’échanger son permis de conduire nigérian contre un permis de conduire suisse n’est pas fondé sur sa nationalité, mais sur le fait que le document présenté est un faux. Pour le surplus, l’intimé ne démontre ni même n’allègue que l’OCV aurait reconnu des permis de conduire falsifiés de conducteurs d’autres nationalités. Au vu de ce qui précède, le refus de reconnaître le permis de conduire nigérian présenté par le recourant ainsi que l’interdiction de son usage sont conformes au droit. Le recours de l’OCV sera ainsi admis et le jugement du TAPI annulé.</w:t>
      </w:r>
    </w:p>
    <w:p>
      <w:r>
        <w:t>- 9/10 - A/4130/2022 3. Malgré l’issue du litige, aucun émolument ne sera perçu, l’intimé plaidant au bénéfice de l’assistance juridique. L’OCV ayant agi pour la défense de ses propres intérêts, il ne peut se voir allouer d’indemnité de procédure, qu’il ne réclame d’ailleurs pas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