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ATA/107/2026 vom 27. Januar 2026</w:t>
      </w:r>
    </w:p>
    <w:p>
      <w:r>
        <w:t>GE Cour de justice, 2026-01-27, FR</w:t>
      </w:r>
    </w:p>
    <w:p>
      <w:r>
        <w:rPr>
          <w:b/>
        </w:rPr>
        <w:t xml:space="preserve">Quelle: </w:t>
      </w:r>
      <w:r>
        <w:t>https://mcp.opencaselaw.ch/entscheid/ge_gerichte_ATA_107_2026</w:t>
      </w:r>
    </w:p>
    <w:p>
      <w:r>
        <w:t>FR: GE_GERICHTE ATA/107/2026 du 27 janvier 2026</w:t>
      </w:r>
    </w:p>
    <w:p>
      <w:r>
        <w:t>IT: GE_GERICHTE ATA/107/2026 del 27 gennaio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conteste en premier lieu l’imposition de la valeur locative retenue pour son bien immobilier à C______ : la villa n’avait été occupée ni par lui-même ni par ses enfants. Elle n’avait pas été louée non plus, en raison de sa mise en vente durant les années fiscales considérées.</w:t>
      </w:r>
    </w:p>
    <w:p>
      <w:r>
        <w:rPr>
          <w:b/>
        </w:rPr>
        <w:t>E. 2.1</w:t>
      </w:r>
    </w:p>
    <w:p>
      <w:r>
        <w:t>Selon l'art. 16 LIFD,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de la loi sur l'imposition des personnes physiques du 27 septembre 2009 (LIPP - D 3 08) prévoyant que l'impôt sur le revenu a pour objet tous les revenus, prestations et avantages du contribuable, qu'ils soient uniques ou périodiques, en espèce ou en nature et quelle qu'en soit l'origine. Parmi les revenus soumis à imposition figure la valeur locative d'un bien immobilier, propriété du contribuable. Il s'agit d'un revenu en nature dont la valeur</w:t>
      </w:r>
    </w:p>
    <w:p>
      <w:r>
        <w:t>- 7/16 - A/3147/2024 économique correspond au loyer que le contribuable aurait pu obtenir d'un tiers en louant son logement (ATF 131 I consid. 2.2 ; 112 I a 242 ; Xavier OBERSON, Droit fiscal suisse, 5e éd. 2021, p. 233 n. 233 ; Yves NOËL in Yves NOËL/Florence AUBRY GIRARDIN [éd.], Commentaire romand de la loi fédérale sur l'impôt fédéral direct, 2e éd., 2017, ad, n. 55 ad art. 16 LIFD).</w:t>
      </w:r>
    </w:p>
    <w:p>
      <w:r>
        <w:rPr>
          <w:b/>
        </w:rPr>
        <w:t>E. 2.2</w:t>
      </w:r>
    </w:p>
    <w:p>
      <w:r>
        <w:t>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La valeur locative est déterminée compte tenu des conditions locales et de l'utilisation effective du logement ou du domicile du contribuable (art. 21 al. 2 LIFD). En matière d'imposition cantonale, la loi fédérale sur l’harmonisation des impôts directs des cantons et des communes du 14 décembre 1990 (LHID - RS 642.14),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 Sur cette base, le législateur cantonal a édicté l'art. 24 al. 1 let. b LIPP, lequel est d'une teneur similaire à celle de l'art. 21 al. 1 let. b LIFD. L'art. 24 al. 2 LIPP définit la notion de valeur locative de la manière suivante : «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 ».</w:t>
      </w:r>
    </w:p>
    <w:p>
      <w:r>
        <w:rPr>
          <w:b/>
        </w:rPr>
        <w:t>E. 2.3</w:t>
      </w:r>
    </w:p>
    <w:p>
      <w:r>
        <w:t>Selon la jurisprudence relative à l'art. 21 al. 1 let. b LIFD, il y a usage personnel lorsque le propriétaire habite effectivement sa maison, mais également lorsqu'il s'en réserve l'usage dans un autre but (Nicolas MERLINO in Yves NOËL/Florence AUBRY GIRARDIN [éd.], op. cit., ad art. 21 LIFD n. 91). Dans ce cas également, il « a droit » à l'appartement, car il peut l'occuper lui-même en tout temps. Il est imposable sur l'avantage économique ainsi assuré. C'est par sa volonté de garder l'appartement à sa libre disposition qu'il s'est assuré cet avantage (ATF 75 I 246 consid. 1 ; RDAF 1950, 174). Cette volonté fait défaut - et il n'y a pas d'imposition de la valeur locative - lorsque, par exemple, l'appartement ne reste vide que parce que le propriétaire ne trouve pas de locataire (ATF 72 I 223 ; RDAF 1947, 17), ou lorsqu'une maison ne reste vide que parce que l'immeuble est destiné à être vendu (ATF 75 I 249 ; RDAF 1950, 174). La valeur locative est en revanche imposée si l'immeuble est laissé vide mais que le propriétaire se laisse la possibilité d'y loger (arrêt du Tribunal fédéral 2C_182/2015 ; Nicolas MERLINO, op. cit., ad art. 21 LIFD n. 98). Il y a usage propre du bien immobilier également lorsque son occupation intervient au travers du conjoint ou des enfants du propriétaire, ou</w:t>
      </w:r>
    </w:p>
    <w:p>
      <w:r>
        <w:t>- 8/16 - A/3147/2024 d’autres personnes bénéficiaires d’une obligation d’entretien qui vivent dans la maison du propriétaire, sans verser une contre-prestation. L'usage personnel d'un immeuble ne se limite pas aux cas où le propriétaire occupe personnellement l'immeuble, mais est aussi admis lorsqu'il conserve, sans l'exercer, le droit de l'occuper en tout temps. Cette situation se présente non seulement lorsque le contribuable dispose d'une résidence secondaire, mais également lorsqu'un propriétaire met à disposition d'un proche un logement ou une résidence secondaire (Ibid. ad art. 21 LIFD n. 89 à 92 et les réf. citées).</w:t>
      </w:r>
    </w:p>
    <w:p>
      <w:r>
        <w:rPr>
          <w:b/>
        </w:rPr>
        <w:t>E. 2.4</w:t>
      </w:r>
    </w:p>
    <w:p>
      <w:r>
        <w:t>Les personnes physiques sont assujetties à l'impôt à raison du rattachement personnel lorsque, au regard du droit fiscal, elles sont domiciliées ou séjournent en Suisse (art. 3 al. 1 LIFD). Une personne a son domicile fiscal en Suisse lorsqu'elle y réside avec l'intention de s'y établir durablement ou lorsqu'elle y a un domicile légal spécial en vertu du droit fédéral (art. 3 al. 2 LIFD). Une personne séjourne en Suisse au regard du droit fiscal lorsque, sans interruption notable, elle y réside pendant trente jours au moins et y exerce une activité lucrative ou elle y réside pendant nonante jours au moins sans y exercer d'activité lucrative (art. 3 al. 3 LIFD). L'assujettissement fondé sur un rattachement personnel est illimité (art. 6 al. 1 LIFD). L'art. 3 al. 1 et 2 LIFD a son pendant, en droit genevois, à l'art. 2 al. 1 et 2 LIPP. Le domicile au regard du droit fiscal est une notion autonome, même si la définition qui en est donnée par la loi fiscale est très proche de celle que retient le droit civil (art. 23 du Code civil suisse du 10 décembre 1907 - CC - RS 210 ; Jean-Blaise PASCHOUD/Daniel DE VRIES REILINGH, in Yves NOËL/Florence AUBRY GIRARDIN [éd.], op. cit., ad art. 3 n. 10), c’est-à-dire le lieu où la personne réside avec l’intention de s’établir (art. 23 al. 1 CC), ou le lieu où se situe le centre de ses intérêts personnels et professionnels (ATF 138 II 300 consid. 3.2 ; ATF 134 V 236 consid. 2.1 ; 132 I 29 consid. 4.1 ; 131 V 59 consid. 5.7).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fait qu’une personne a déposé ses papiers ou exerce ses droits politiques dans un autre lieu n’a pas de portée déterminante (ATF 132 I 29 consid. 4.1 ; 131 I 145 consid. 4.2). Ces circonstances extérieures peuvent toutefois constituer des indices à l’appui du domicile fiscal lorsqu’ils sont confirmés par ailleurs par le comportement de la personne (ATF 132 I 29 consid. 4.1 ; 131 I 145 consid. 4). Le droit fiscal attache plus d'importance aux circonstances réelles qu'aux indices purement formels (Xavier OBERSON, Droit fiscal suisse, 5e éd., 2021, p. 86). Le lieu où les papiers d'identité ont été déposés ou celui figurant dans des documents administratifs, comme des attestations de la police des étrangers, des autorités fiscales ou des assurances sociales constituent ainsi des indices qui ne sauraient toutefois l'emporter sur le lieu où se focalisent un maximum d'éléments concernant</w:t>
      </w:r>
    </w:p>
    <w:p>
      <w:r>
        <w:t>- 9/16 - A/3147/2024 la vie personnelle, sociale et professionnelle de l'intéressé (ATF 136 II 405 consid. 4.3 ; arrêt du Tribunal fédéral 9C_747/2015 du 12 mai 2016 consid. 4.2). Il appartient aux autorités fiscales d'instruire d'office les éléments de fait constitutifs d'un domicile fiscal (art. 123 al. 1 LIFD) ; elles ne sont aucunement liées par les décisions prises par d'autres autorités (décisions en matière d'exercice des droits politiques, cachet de la Chancellerie du canton et contrôle des habitants etc.), qui ont tout au plus valeur d'indice. S'il leur incombe bien de prouver l'existence d'un tel domicile, le contribuable a néanmoins un devoir de collaboration et doit, en particulier, fournir des renseignements circonstanciés au sujet des éléments propres à fonder son assujettissement (art. 124 ss LIFD) (ATA/687/2021 du 29 juin 2021 consid. 5g). Lorsqu’une personne ne séjourne plus au lieu de son domicile mais dans d’autres lieux en Suisse, le transfert de domicile ne sera opéré qu’au moment de la réalisation des conditions objective et subjective de création d’un nouveau domicile (Jean-Blaise PASCHOUD/Daniel DE VRIES REILINGH, op.cit., n. 20 ad art. 3 LIFD). Selon le tableau figurant à l'annexe 3 de la circulaire Imposition de la famille n° 2/2011 (disponible à l’adresse https://www.ge.ch/document/information-fiscale- 2/2011-imposition-famille), en cas d'enfant majeur ayant des parents séparés, divorcés ou non mariés vivant dans deux ménages distincts, bénéficie du splitting celui qui fait ménage commun avec l'enfant, l'adresse officielle de l’enfant au 31 décembre de l'année fiscale considérée, telle qu'enregistrée auprès de l'OCPM, faisant foi. Est notamment tenu de s'annoncer ou de communiquer toute modification de données le concernant celui qui réside ou séjourne dans le canton (art. 5 al. 1 let. b de la loi d'application de la loi fédérale sur l'harmonisation des registres des habitants et d'autres registres officiels de personnes du 3 avril 2009 - LaLHR – F 2 25). Toute annonce ou communication doit être faite auprès de l'OCPM dans les quatorze jours dès la survenance du fait (art. 5 al. 2 et 3 LaLHR).</w:t>
      </w:r>
    </w:p>
    <w:p>
      <w:r>
        <w:rPr>
          <w:b/>
        </w:rPr>
        <w:t>E. 2.5</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w:t>
      </w:r>
    </w:p>
    <w:p>
      <w:r>
        <w:t>- 10/16 - A/3147/2024 16 mai 2018 consid. 4.1 ; 2C_524/2017 du 26 janvier 2018 consid. 4.2 ; ATA/880/2021 du 31 août 2021 consid. 3a et les références citées). Le droit fiscal est dominé par le principe de la légalité. Dans un système caractérisé par une imposition générale des revenus, les exceptions à l'imposition doivent être interprétées de manière restrictive (ATF 146 II 6 consid. 4.1 ; arrêt du Tribunal fédéral 9C_176/2024 du 30 octobre 2024 consid. 6.1), ce qui vaut non seulement pour les exonérations mais aussi pour les déductions (arrêt du Tribunal fédéral 9C_635/2022 du 31 janvier 2023 consid. 2.2.3). Dans le domaine fiscal,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(ATF 143 II 661 consid. 7.2 ; 140 II 248 consid. 3.5 ; arrêt du Tribunal fédéral 2C_1087/2018 du 29 juillet 2019 consid. 4.1).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ATA/133/2025 du 4 février 2025 consid. 2.7.3).</w:t>
      </w:r>
    </w:p>
    <w:p>
      <w:r>
        <w:rPr>
          <w:b/>
        </w:rPr>
        <w:t>E. 2.6</w:t>
      </w:r>
    </w:p>
    <w:p>
      <w:r>
        <w:t>En l’espèce, il n’est pas contesté que le recourant n’a pas occupé lui-même la villa en 2019, ayant loué un appartement avec sa compagne durant cette année fiscale, la villa ayant été mise en vente en 2017. Il ressort du jugement du TAPI du 12 décembre 2022, ainsi que de l’ATA/799/2025, que le même contentieux s’est présenté s’agissant de déterminer la valeur locative liée à la villa pour les années fiscales 2018, 2020 et 2021. Or, à teneur des faits de ce jugement, le recourant avait informé l’AFC-GE par courrier du 6 juillet 2021 que, bien que la villa eût été mise en vente, elle était à disposition de ses enfants pour toute l’année 2018. Cette affirmation était corroborée par les données du registre de l’OCPM, selon lesquelles ces derniers y étaient domiciliés. Le TAPI a donc retenu qu’il importait peu que les enfants du contribuable soient à l’étranger pour leurs études durant la période considérée, dans la mesure où la villa avait été effectivement mise à leur disposition lorsqu’ils venaient à Genève.</w:t>
      </w:r>
    </w:p>
    <w:p>
      <w:r>
        <w:t>- 11/16 - A/3147/2024 S’agissant du domicile de H______ pour les années 2020 et 2021, il ressort des registres de l’OCPM que ce dernier était domicilié 1______, route de D______, jusqu’au 12 décembre 2022. Le domicile officiel d’une personne n’est certes pas nécessairement son lieu de résidence exclusif. Il incombait toutefois au recourant de prouver que son fils résidait chez lui ou chez sa mère. À cet égard, il n’a produit aucun document établissant cet élément, à l’exception d’un courrier de son ex-épouse, peu détaillé et en contradiction avec ses propres explications et celles de son fils. En outre, le recourant, bien qu’il soutienne que son fils résidait à l’étranger pour ses études durant les périodes considérées, n’a fourni qu’une photocopie d’une attestation de l’IE University datée du 2 avril 2019, selon laquelle H______ était immatriculé en relations internationales pour l’année académique 2018-2019. Les affirmations du recourant et de son ex-épouse, en particulier, selon lesquelles H______ aurait résidé exclusivement chez elle, ne sont étayées par aucun courrier, document ou autre correspondance adressé à H______. Enfin, si l’adresse enregistrée auprès de l’OCPM ne constitue qu’un indice en matière de domicile fiscal, elle est décisive lorsqu’il est question du domicile fiscal d’un enfant majeur. Au vu des éléments qui précèdent, la chambre de céans considère que le TAPI a correctement retenu, à l’instar de l’AFC-GE, qu’en 2019, le recourant s’était réservé l’usage propre de son bien, à tout le moins pour ses enfants, ce qui déclenchait l’imposition, auprès de lui, de la valeur locative. Cet élément est corroboré par le fait que le recourant a bénéficié de l’abattement de 40% et des déductions pour les frais d’entretien y relatifs, soit des éléments liés à l’imposition de cette valeur locative. Ce grief sera ainsi écarté.</w:t>
      </w:r>
    </w:p>
    <w:p>
      <w:r>
        <w:rPr>
          <w:b/>
        </w:rPr>
        <w:t>E. 3</w:t>
      </w:r>
    </w:p>
    <w:p>
      <w:r>
        <w:t>Le recourant conteste le refus de l’AFC-GE de lui accorder des demi-charges de famille pour ses parents. Il ne conclut toutefois qu’à leur octroi pour l’IFD, si bien que la déduction cantonale ne sera pas examinée.</w:t>
      </w:r>
    </w:p>
    <w:p>
      <w:r>
        <w:rPr>
          <w:b/>
        </w:rPr>
        <w:t>E. 3.1</w:t>
      </w:r>
    </w:p>
    <w:p>
      <w:r>
        <w:t>L’art. 35 al. 1 let. b LIFD, dans sa version en vigueur lors des années fiscales considérées, prévoit que sont déduits du revenu CHF 6'500.- pour chaque personne totalement ou partiellement incapable d’exercer une activité lucrative, à l'entretien de laquelle le contribuable pourvoit, à condition que son aide atteigne au moins le montant de la déduction. Cette disposition permet de tenir compte de la diminution de la capacité contributive du contribuable, qui par obligation juridique ou par devoir moral, entretient un proche (arrêt du Tribunal fédéral 2C_421/2010 du 2 novembre 2011 consid. 2.1 ; ATA/482/2018 du 15 mai 2018). Conformément à la lettre claire de l'art. 35 al. 1 let. b 1e phr. LIFD, la déduction suppose que l'aide fournie atteigne au moins le montant de CHF 6'500.-. À défaut, aucune déduction, même réduite, n'est accordée, et ce même dans l'hypothèse où les autres conditions d'application de l'art. 35 al. 1 let. b LIFD seraient remplies</w:t>
      </w:r>
    </w:p>
    <w:p>
      <w:r>
        <w:t>- 12/16 - A/3147/2024 (arrêts du Tribunal fédéral 9C_408/2024 du 23 octobre 2024 ; 2C_656/2020 du 16 mars 2021 consid. 6.1 et les références). Les déductions sociales sont fixées en fonction de la situation du contribuable à la fin de la période fiscale ou de l’assujettissement (art. 35 al. 2 LIFD). L’incapacité financière de subvenir seul à ses besoins est une condition impérative de la déduction. L’existence d’une incapacité de travail n’est toutefois pas suffisante puisqu’une personne dans cette situation pourrait être fortunée ; or, à défaut d’incapacité de subvenir seule à ses besoins, les prestations qui lui seraient fournies ne donneraient pas droit à une déduction pour personne nécessiteuse. Est dans le besoin la personne qui ne dispose ni d’un revenu suffisant ni d’une fortune lui permettant de subvenir seule à son entretien. Le seuil au-dessous duquel l’indigence existe doit donc être concrétisé. Si la Confédération n’a pas édicté de directives en la matière, certaines pratiques cantonales fixent généralement des limites de revenu et de fortune au-dessous desquelles une incapacité financière de subvenir seul à ses besoins peut être considérée comme établie (Christine JAQUES in Yves NOËL/Florence AUBRY GIRARDIN [éd.], op. cit., n. 40 ad. art. 35 LIFD).</w:t>
      </w:r>
    </w:p>
    <w:p>
      <w:r>
        <w:rPr>
          <w:b/>
        </w:rPr>
        <w:t>E. 3.2</w:t>
      </w:r>
    </w:p>
    <w:p>
      <w:r>
        <w:t>En l’occurrence, il n’est pas contesté qu’en 2019, les parents du recourant avaient dépassé l'âge de la retraite, si bien qu’il ne pouvait être exigé d’eux qu'ils exercent encore une activité lucrative. Il n’est pas non plus remis en cause qu’ils font partie du cercle des personnes susceptibles de constituer une charge de famille au sens de l’art. 35 al. 1 let. b LIFD. règlement relatif à la compensation des effets de la progression à froid du 9 novembre 2016 (RCEPF - D 3 08.05) Conformément aux considérants qui précèdent, il convient d’examiner si le recourant a démontré, d’une part, qu’il a pourvu à l’entretien de ses parents en 2019 et, d’autre part, que ces derniers étaient en situation d’indigence durant la période considérée. S’agissant du premier point, le recourant a produit, au stade du recours devant la chambre de céans, une « confirmation d’ordre » établie par UBS le 13 mai 2024, attestant d’un ordre permanent à l’attention de F______, résidant 5______, avenue M______, 12______N______, d’un montant de CHF 1'470.-, mensuel, valide depuis le 23 août 2006 et jusqu’à révocation. Cet ordre permanent précise qu’aucune interruption n’a eu lieu depuis la date de la première exécution. La chambre de céans retiendra, au vu du contenu de cette pièce, des autres documents produits, notamment une liste de transferts bancaires en faveur de la mère du recourant pour toute l’année 2019, qu’il a démontré à satisfaction de droit avoir versé une somme supérieure à CHF 6'500.- (soit CHF 17'640.-) à ses parents en 2019. S’il n’a certes pas produit de document unique attestant des douze versements mensuels de CHF 1'470.- qu’il allègue avoir effectués en 2019</w:t>
      </w:r>
    </w:p>
    <w:p>
      <w:r>
        <w:t>- 13/16 - A/3147/2024 en faveur de ses parents, il a pu prouver le versement à ceux-ci d’une aide atteignant un montant supérieur au minimum légal. La question de l’indigence est plus délicate. Au plan cantonal, à teneur de l’art. 39 al. 2 let. c LIPP, en vigueur en 2019, constituent des charges de famille les ascendants et descendants (dans les autres cas que ceux visés aux lettres a et b du présent alinéa), frères, sœurs, oncles, tantes, neveux et nièces, incapables de subvenir entièrement à leurs besoins, qui n'ont pas une fortune supérieure à CHF 87'500.- ni un revenu supérieur à CHF 15'333.- pour une charge entière ou à CHF 23'000.- pour une demi-charge, pour celui de leur proche qui pourvoit à leur entretien. En l’absence de limites fixées par le droit fédéral, il convient de s’y référer également pour l’application de l’art. 35 al. 1 let. b LIFD (ATA/799/2025 du 22 juillet 2025 consid. 7.3). Il ressort du dossier que les revenus bruts des parents du recourant s’élevaient à CHF 46'643.- en 2019. Dans son arrêt précité concernant une autre taxation du recourant (ATA/799/2025), la chambre de céans a retenu la limite de revenus fixée par le droit cantonal ne se rapporte qu’à une personne, et non au couple. Il n’apparaît en effet pas conforme au but du législateur de considérer que les limites de revenu et de fortune fixées à l’art. 39 al. 2 let. c LIPP se réfèrent à la capacité économique des deux parents. En fixant ces plafonds, le législateur est nécessairement parti de l'idée que ne pouvait être considéré comme étant dans le besoin au sens de l'art. 39 al 2 let. c LIPP, que celui qui ne disposait ni d'une fortune supérieure à CHF 87'500.-, ni d'un revenu annuel supérieur à CHF 15'333.- pour une charge entière et CHF 23'000.- pour une demi-charge (étant précisé que le règlement relatif à la compensation des effets de la progression à froid du 9 novembre 2016 - RCEPF - D 3 08.05 - prévoyait pour 2019 des montants inférieurs à ceux prévus par la loi, ce qui pose un problème de légalité mais n’a quoi qu’il en soit pas d’incidence sur la solution du litige). La capacité économique du proche aidé est ainsi déterminante pour la déduction considérée, étant précisé que l’art. 24 al. 1 du règlement d'application de la loi sur l'imposition des personnes physiques 13 janvier 2010 (RIPP - D 3 08.1) se réfère aux revenus et fortune bruts de « la personne concernée ». La chambre de céans a ainsi conclu que pour le cas où le contribuable aide un couple marié vivant en ménage commun, les montants de revenus et de fortune doivent être divisés par deux. Au demeurant, il importe peu de savoir lequel des deux conjoints réalise le revenu ou dispose d'une fortune, en raison du devoir d'assistance mutuelle entre les époux (art. 159 al. 3 du Code civil suisse du 10 décembre 1907 - CC - RS 210). Dans le cas particulier, les revenus des parents, divisés par deux, restent au-delà du seuil de CHF 23'000.- pour l’année 2019 (CHF 46'643.- / 2 = CHF 23'321.50). Partant, le recourant n’a pas droit à la déduction de charges de famille, même partielles, pour ses parents pour l’année 2019. Le grief sera écarté. Ce qui précède conduit au rejet du recours.</w:t>
      </w:r>
    </w:p>
    <w:p>
      <w:r>
        <w:t>- 14/16 - A/3147/2024</w:t>
      </w:r>
    </w:p>
    <w:p>
      <w:r>
        <w:rPr>
          <w:b/>
        </w:rPr>
        <w:t>E. 4</w:t>
      </w:r>
    </w:p>
    <w:p>
      <w:r>
        <w:t>Vu l’issue du litige, un émolument de CHF 700.- sera mis à la charge du recourant (art. 87 al. 1 LPA) et il ne sera pas alloué d’indemnité de procédure (art. 87 al. 2 LPA).</w:t>
      </w:r>
    </w:p>
    <w:p>
      <w:r>
        <w:t>- 15/16 - A/3147/2024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