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ATA/107/2011 vom 15. Februar 2011</w:t>
      </w:r>
    </w:p>
    <w:p>
      <w:r>
        <w:t>GE Cour de justice, 2011-02-15, FR</w:t>
      </w:r>
    </w:p>
    <w:p>
      <w:r>
        <w:rPr>
          <w:b/>
        </w:rPr>
        <w:t xml:space="preserve">Quelle: </w:t>
      </w:r>
      <w:r>
        <w:t>https://mcp.opencaselaw.ch/entscheid/ge_gerichte_ATA_107_2011</w:t>
      </w:r>
    </w:p>
    <w:p>
      <w:r>
        <w:t>FR: GE_GERICHTE ATA/107/2011 du 15 février 2011</w:t>
      </w:r>
    </w:p>
    <w:p>
      <w:r>
        <w:t>IT: GE_GERICHTE ATA/107/2011 del 15 febbraio 2011</w:t>
      </w:r>
    </w:p>
    <w:p>
      <w:pPr>
        <w:pStyle w:val="Heading2"/>
      </w:pPr>
      <w:r>
        <w:t>Erwägungen</w:t>
      </w:r>
    </w:p>
    <w:p>
      <w:r>
        <w:rPr>
          <w:b/>
        </w:rPr>
        <w:t>E. 5</w:t>
      </w:r>
    </w:p>
    <w:p>
      <w:r>
        <w:t>En conséquence, le recours sera admis. Vu l’issue du litige, il ne sera pas perçu d’émolument. Les recourants ayant conclu à l’allocation « d’un émolument à titre de dépens », il convient d’interpréter cette formulation comme une demande d’indemnité de procédure au sens de l’art. 87 LPA et de leur allouer, conjointement et solidairement, une indemnité de CHF 500.-,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