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ATA/1079/2016 vom 20. Dezember 2016</w:t>
      </w:r>
    </w:p>
    <w:p>
      <w:r>
        <w:t>GE Cour de justice, 2016-12-20, FR</w:t>
      </w:r>
    </w:p>
    <w:p>
      <w:r>
        <w:rPr>
          <w:b/>
        </w:rPr>
        <w:t xml:space="preserve">Quelle: </w:t>
      </w:r>
      <w:r>
        <w:t>https://mcp.opencaselaw.ch/entscheid/ge_gerichte_ATA_1079_2016</w:t>
      </w:r>
    </w:p>
    <w:p>
      <w:r>
        <w:t>FR: GE_GERICHTE ATA/1079/2016 du 20 décembre 2016</w:t>
      </w:r>
    </w:p>
    <w:p>
      <w:r>
        <w:t>IT: GE_GERICHTE ATA/1079/2016 del 20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3</w:t>
      </w:r>
    </w:p>
    <w:p>
      <w:r>
        <w:t>a. Selon l’art. 33 de la loi fédérale sur les étrangers du 16 décembre 2005 (LEtr - RS 142.20), l’autorisation de séjour est octroyée pour un séjour de plus d’une année (al. 1) ; elle est octroyée pour un séjour dont le but est déterminé et peut être assortie d’autres conditions (al. 2) ; sa durée de validité est limitée, mais peut être prolongée s’il n’existe aucun motif de révocation au sens de l’art. 62 LEtr.</w:t>
      </w:r>
    </w:p>
    <w:p>
      <w:r>
        <w:t>Aux termes de l’art. 42 LEtr, le conjoint d'un ressortissant suisse a droit à l'octroi d'une autorisation de séjour et à la prolongation de sa durée de validité, à condition de vivre en ménage avec lui (al. 1) ; après un séjour légal ininterrompu de cinq ans, le conjoint a droit à l'octroi d'une autorisation d'établissement (al. 3).</w:t>
      </w:r>
    </w:p>
    <w:p>
      <w:r>
        <w:t>À teneur de l’art. 51 al. 2 LEtr, les droits prévus à l’art. 42 LEtr s’éteignent lorsqu’ils sont invoqués abusivement, notamment pour éluder les dispositions de la présente loi sur l’admission et le séjour ou ses dispositions d’exécution ou s’il existe des motifs de révocation au sens de l’art. 62 LEtr.</w:t>
      </w:r>
    </w:p>
    <w:p>
      <w:r>
        <w:t>L’art. 62 LEtr prévoit cinq hypothèses de révocation de l’autorisation de séjour :</w:t>
      </w:r>
    </w:p>
    <w:p>
      <w:r>
        <w:t>- 5/10 - A/4009/2015</w:t>
      </w:r>
    </w:p>
    <w:p>
      <w:r>
        <w:t>- si l’étranger ou son représentant légal a fait de fausses déclarations ou a dissimulé des faits essentiels durant la procédure d’autorisation ;</w:t>
      </w:r>
    </w:p>
    <w:p>
      <w:r>
        <w:t>- lorsque l’étranger a été condamné à une peine privative de liberté de longue durée ;</w:t>
      </w:r>
    </w:p>
    <w:p>
      <w:r>
        <w:t>- si l’étranger attente de manière grave ou répétée à la sécurité et l’ordre publics en Suisse ou à l’étranger, les met en danger ou représente une menace pour la sécurité intérieure ou extérieure de la Suisse ;</w:t>
      </w:r>
    </w:p>
    <w:p>
      <w:r>
        <w:t>- s’il ne respecte pas les conditions dont la décision est assortie ;</w:t>
      </w:r>
    </w:p>
    <w:p>
      <w:r>
        <w:t>- si lui-même ou une personne dont il a la charge dépend de l’aide sociale.</w:t>
      </w:r>
    </w:p>
    <w:p>
      <w:r>
        <w:t>b. 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w:t>
      </w:r>
    </w:p>
    <w:p>
      <w:r>
        <w:t>c.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w:t>
      </w:r>
    </w:p>
    <w:p>
      <w:r>
        <w:t>d.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précité ; 2C_464/2009 du 21 octobre 2009 consid. 5).</w:t>
      </w:r>
    </w:p>
    <w:p>
      <w:r>
        <w:t>Les infractions à la LStup constituent une atteinte grave à l'ordre et à la sécurité publics, au vu des ravages de la drogue dans la population, spécialement auprès des jeunes et des personnes socialement fragilisées. C'est pourquoi il se</w:t>
      </w:r>
    </w:p>
    <w:p>
      <w:r>
        <w:t>- 6/10 - A/4009/2015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w:t>
      </w:r>
    </w:p>
    <w:p>
      <w:r>
        <w:t>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w:t>
      </w:r>
    </w:p>
    <w:p>
      <w:r>
        <w:t>- 7/10 - A/4009/2015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w:t>
      </w:r>
    </w:p>
    <w:p>
      <w:r>
        <w:t>Doit également être pris en considération le fait que le conjoint, au moment du mariage, connaissait le passé criminel de la personne étrangère qu'il entendait épouser et devait par conséquent savoir qu'il risquait de ne pas pouvoir vivre sa vie maritale en Suisse (arrêts du Tribunal fédéral 2C_855/2012 du 21 janvier 2013 consid. 61 ; 2C_141/2012 du 30 juillet 2012 consid. 6.3).</w:t>
      </w:r>
    </w:p>
    <w:p>
      <w:r>
        <w:t>Dans la pesée des intérêts, il faut également tenir compte de l'intérêt de l'enfant à maintenir des contacts réguliers avec son père, ainsi que l'exige 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précité consid. 4.2).</w:t>
      </w:r>
    </w:p>
    <w:p>
      <w:r>
        <w:rPr>
          <w:b/>
        </w:rPr>
        <w:t>E. 4</w:t>
      </w:r>
    </w:p>
    <w:p>
      <w:r>
        <w:t>En l’espèce, la chambre administrative retiendra que le recourant, aujourd’hui âgé de près de 50 ans, n’a passé que six à sept ans en Suisse et uniquement deux ans en liberté.</w:t>
      </w:r>
    </w:p>
    <w:p>
      <w:r>
        <w:t>Il a été condamné à une lourde peine pour une infraction, qui, sans contestation possible, est de celles représentant une menace grave pour la sécurité et l’ordre publics.</w:t>
      </w:r>
    </w:p>
    <w:p>
      <w:r>
        <w:t>Certes, son épouse dispose d’une autorisation d’établissement en Suisse et rien ne permet de penser qu’elle était au courant des activités du recourant avant leur mariage. Toutefois, Mme B______ est, comme son époux, de nationalité colombienne, ce dont il y a lieu de tenir compte dans la pesée d’intérêts à effectuer.</w:t>
      </w:r>
    </w:p>
    <w:p>
      <w:r>
        <w:t>D’autre part, le recourant a certes un fils domicilié à Genève, toutefois, ce dernier était déjà majeur lors de l’arrivée de son père en Suisse. De plus, la fille mineure de l’intéressé, de même que ses frères et sœurs, sont domiciliés en Espagne.</w:t>
      </w:r>
    </w:p>
    <w:p>
      <w:r>
        <w:t>Dans ces circonstances, le refus de prolongation de l’autorisation de séjour du recourant et son renvoi de Suisse sont conformes tant à l’art. 8 CEDH qu’aux dispositions de la LEtr, et devront être confirmés.</w:t>
      </w:r>
    </w:p>
    <w:p>
      <w:r>
        <w:t>- 8/10 - A/4009/2015</w:t>
      </w:r>
    </w:p>
    <w:p>
      <w:r>
        <w:rPr>
          <w:b/>
        </w:rPr>
        <w:t>E. 5</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Cette 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le recourant n’a jamais allégué que son retour dans son pays d’origine serait impossible, illicite ou inexigible au regard de l’art. 83 LEtr, le dossier ne laissant pas apparaître d’éléments qui tendraient à démontrer le contraire. C’est ainsi à bon droit que son renvoi a été prononcé.</w:t>
      </w:r>
    </w:p>
    <w:p>
      <w:r>
        <w:rPr>
          <w:b/>
        </w:rPr>
        <w:t>E. 6</w:t>
      </w:r>
    </w:p>
    <w:p>
      <w:r>
        <w:t>Le recours doit en conséquence être rejeté.</w:t>
      </w:r>
    </w:p>
    <w:p>
      <w:r>
        <w:rPr>
          <w:b/>
        </w:rPr>
        <w:t>E. 7</w:t>
      </w:r>
    </w:p>
    <w:p>
      <w:r>
        <w:t>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