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ATA/1077/2016 vom 20. Dezember 2016</w:t>
      </w:r>
    </w:p>
    <w:p>
      <w:r>
        <w:t>GE Cour de justice, 2016-12-20, FR</w:t>
      </w:r>
    </w:p>
    <w:p>
      <w:r>
        <w:rPr>
          <w:b/>
        </w:rPr>
        <w:t xml:space="preserve">Quelle: </w:t>
      </w:r>
      <w:r>
        <w:t>https://mcp.opencaselaw.ch/entscheid/ge_gerichte_ATA_1077_2016</w:t>
      </w:r>
    </w:p>
    <w:p>
      <w:r>
        <w:t>FR: GE_GERICHTE ATA/1077/2016 du 20 décembre 2016</w:t>
      </w:r>
    </w:p>
    <w:p>
      <w:r>
        <w:t>IT: GE_GERICHTE ATA/1077/2016 del 20 dicembre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LPA).</w:t>
      </w:r>
    </w:p>
    <w:p>
      <w:r>
        <w:rPr>
          <w:b/>
        </w:rPr>
        <w:t>E. 2</w:t>
      </w:r>
    </w:p>
    <w:p>
      <w:r>
        <w:t>a. En droit genevois, l’obligation de reconsidération d’une décision par l’autorité qui l’a prise est réglée à l’art. 48 LPA.</w:t>
      </w:r>
    </w:p>
    <w:p>
      <w:r>
        <w:t>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w:t>
      </w:r>
    </w:p>
    <w:p>
      <w:r>
        <w:t>Aux termes de l'art. 80 let. a à b LPA, il y a lieu à révision d'une décision judiciaire lorsque dans une affaire réglée par une décision définitive, il apparaît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w:t>
      </w:r>
    </w:p>
    <w:p>
      <w:r>
        <w:t>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w:t>
      </w:r>
    </w:p>
    <w:p>
      <w:r>
        <w:t>- 8/11 - A/2314/2015 en question (ATA/36/2014 du 21 janvier 2014 consid. 2 ; ATA/811/2013 du 10 décembre 2013).</w:t>
      </w:r>
    </w:p>
    <w:p>
      <w:r>
        <w:t>Une demande de reconsidération ne doit pas permettre de remettre continuellement en cause des décisions entrées en force et d'éluder les dispositions légales sur les délais de recours (ATF 136 II 177 consid. 2.1 ; Thierry TANQUEREL, Manuel de droit administratif, 2011,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w:t>
      </w:r>
    </w:p>
    <w:p>
      <w:r>
        <w:t>b.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w:t>
      </w:r>
    </w:p>
    <w:p>
      <w:r>
        <w:rPr>
          <w:b/>
        </w:rPr>
        <w:t>E. 3</w:t>
      </w:r>
    </w:p>
    <w:p>
      <w:r>
        <w:t>a. En l’espèce, par sa décision du 4 juin 2015, l’OCPM a refusé d’entrer en matière sur la demande de reconsidération formée en mai 2015 par le recourant.</w:t>
      </w:r>
    </w:p>
    <w:p>
      <w:r>
        <w:t>Le contrôle juridictionnel effectué par le TAPI puis par la chambre de céans ne peut donc porter que sur la question de savoir si c’est à juste titre que l’OCPM n’est pas entré en matière sur ladite demande, en d’autres termes s’il y a eu ou non modification notable des circonstances au sens de l’art. 48 al. 1 let. b LPA.</w:t>
      </w:r>
    </w:p>
    <w:p>
      <w:r>
        <w:t>Si la chambre administrative retenait une telle modification des circonstances, elle devrait en principe renvoyer le dossier à l’intimé afin que celui-ci le reconsidère (Jacques DUBEY/Jean-Baptiste ZUFFEREY, Droit administratif général, 2014, n. 2148), ce qui n’impliquerait pas</w:t>
      </w:r>
    </w:p>
    <w:p>
      <w:r>
        <w:t>- 9/11 - A/2314/2015 nécessairement que la décision d’origine soit modifiée (Thierry TANQUEREL, op. cit., n. 1429).</w:t>
      </w:r>
    </w:p>
    <w:p>
      <w:r>
        <w:t>b. Dans son jugement du 27 mai 2014, le TAPI avait indiqué, dans un obiter dictum, que M. A______ pourrait déposer une nouvelle demande, en procédant depuis l'étranger, s'il obtenait son immatriculation. Or il résulte clairement du dernier courrier de la HEG figurant au dossier que le recourant n'était à ce moment pas encore admissible au cursus désiré, et qu'il devrait remplir plusieurs conditions pour pouvoir être admissible lors de la rentrée académique 2016-2017 – au sujet de laquelle il n'a d'ailleurs pas donné à la chambre de céans d'informations complémentaires telles que le résultat de ses examens. L'une d'entre elles était une pratique professionnelle minimale d'un an, qu'il ne pouvait à l'évidence effectuer en Suisse en l'absence d'autorisation de séjour avec activité lucrative (étant rappelé que selon l'art. 11 al. 2 LEtr, est considérée comme activité lucrative toute activité salariée ou indépendante qui procure normalement un gain, même si elle est exercée gratuitement).</w:t>
      </w:r>
    </w:p>
    <w:p>
      <w:r>
        <w:t>Dès lors, le fait qu'il ait progressé sur certains points – en demeurant en Suisse malgré les décisions définitives prises à son encontre – vers une possible immatriculation ne saurait constituer dans son cas une modification notable des circonstances au sens de l'art. 48 al. 1 let. b LPA.</w:t>
      </w:r>
    </w:p>
    <w:p>
      <w:r>
        <w:rPr>
          <w:b/>
        </w:rPr>
        <w:t>E. 4</w:t>
      </w:r>
    </w:p>
    <w:p>
      <w:r>
        <w:t>C'est donc à juste titre que l'OCPM a refusé d'entrer en matière sur la demande de reconsidération, et que le TAPI a confirmé ce refus, si bien que le recours, mal fondé, doit être rejeté.</w:t>
      </w:r>
    </w:p>
    <w:p>
      <w:r>
        <w:rPr>
          <w:b/>
        </w:rPr>
        <w:t>E. 5</w:t>
      </w:r>
    </w:p>
    <w:p>
      <w:r>
        <w:t>Vu l'issue du litige, un émolument de CHF 400.-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