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ATA/1074/2016 vom 20. Dezember 2016</w:t>
      </w:r>
    </w:p>
    <w:p>
      <w:r>
        <w:t>GE Cour de justice, 2016-12-20, FR</w:t>
      </w:r>
    </w:p>
    <w:p>
      <w:r>
        <w:rPr>
          <w:b/>
        </w:rPr>
        <w:t xml:space="preserve">Quelle: </w:t>
      </w:r>
      <w:r>
        <w:t>https://mcp.opencaselaw.ch/entscheid/ge_gerichte_ATA_1074_2016</w:t>
      </w:r>
    </w:p>
    <w:p>
      <w:r>
        <w:t>FR: GE_GERICHTE ATA/1074/2016 du 20 décembre 2016</w:t>
      </w:r>
    </w:p>
    <w:p>
      <w:r>
        <w:t>IT: GE_GERICHTE ATA/1074/2016 del 20 dicembre 2016</w:t>
      </w:r>
    </w:p>
    <w:p>
      <w:pPr>
        <w:pStyle w:val="Heading2"/>
      </w:pPr>
      <w:r>
        <w:t>Erwägungen</w:t>
      </w:r>
    </w:p>
    <w:p>
      <w:r>
        <w:rPr>
          <w:b/>
        </w:rPr>
        <w:t>E. 1</w:t>
      </w:r>
    </w:p>
    <w:p>
      <w:r>
        <w:t>Interjeté en temps utile, soit dans le délai de dix jours, devant la juridiction compétente, le recours est recevable (art. 132 de la loi sur l'organisation judiciaire du 26 septembre 2010 - LOJ - E 2 05 ; art. 10 al. 1 de la loi d'application de la loi fédérale sur les étrangers du 16 décembre 2005 (LEtr - RS 142.20)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14 décembre 2016 et statuant ce jour, elle respecte ce délai.</w:t>
      </w:r>
    </w:p>
    <w:p>
      <w:r>
        <w:t>La chambre administrative est en outre compétente pour apprécier l'opportunité des décisions portées devant elle (art. 10 al. 2 2ème phr. LaLEtr).</w:t>
      </w:r>
    </w:p>
    <w:p>
      <w:r>
        <w:rPr>
          <w:b/>
        </w:rPr>
        <w:t>E. 3</w:t>
      </w:r>
    </w:p>
    <w:p>
      <w:r>
        <w:t>Le recourant sollicite l’audition de deux témoins.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- 7/12 - A/4133/2016</w:t>
      </w:r>
    </w:p>
    <w:p>
      <w:r>
        <w:t>c. En l’espèce, le recourant a été entendu par le TAPI. Il s’est exprimé dans un recours. Il a pu répliquer. Le délai précité ainsi que la proximité de la date du vol rendent impossible l’audition de témoins. Par ailleurs, celle-ci ne pourrait porter que sur des éléments non pertinents pour l'issue du litige, comme cela résulte des considérants qui suivent. Enfin, la chambre administrative dispose d’un dossier complet, soit de tous les éléments nécessaires à trancher le litige. La demande d’audition de témoins sera en conséquence rejetée.</w:t>
      </w:r>
    </w:p>
    <w:p>
      <w:r>
        <w:rPr>
          <w:b/>
        </w:rPr>
        <w:t>E. 4</w:t>
      </w:r>
    </w:p>
    <w:p>
      <w:r>
        <w:t>novembre 1950 (CEDH - RS 0.101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w:t>
      </w:r>
    </w:p>
    <w:p>
      <w:r>
        <w:t>- 8/12 - A/4133/2016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6</w:t>
      </w:r>
    </w:p>
    <w:p>
      <w:r>
        <w:t>a. En l'espèce, le recourant fait l'objet d'une décision de renvoi définitive et exécutoire, prononcée par le SEM le 25 août 2011, confirmée par le TAF le 24 octobre 2013. La première condition est en conséquence remplie.</w:t>
      </w:r>
    </w:p>
    <w:p>
      <w:r>
        <w:t>b. Le juge de la détention doit établir un pronostic, en déterminant s’il existe des garanties que l’étranger prêtera son concours à l’exécution du renvoi le moment venu.</w:t>
      </w:r>
    </w:p>
    <w:p>
      <w:r>
        <w:t>Aucune pièce du dossier ne vient contredire les affirmations du recourant selon lesquelles il s’est régulièrement présenté aux rendez-vous qui lui avaient été fixés par l’OCPM et que son adresse a toujours été connue des autorités suisses.</w:t>
      </w:r>
    </w:p>
    <w:p>
      <w:r>
        <w:t>Toutefois, l’intéressé a affirmé ne pas vouloir retourner en Russie. Les dates auxquelles il l’aurait affirmé sont litigieuses. Le procès-verbal du 2 décembre 2016 auprès du commissaire est toutefois dûment contresigné par l’intéressé. De surcroît, le recourant refuse aujourd’hui de retourner en Russie s’il ne bénéficie pas de l’aide de la Croix-Rouge.</w:t>
      </w:r>
    </w:p>
    <w:p>
      <w:r>
        <w:t>Le recourant s’est par ailleurs opposé physiquement à son renvoi le 2 décembre 2016.</w:t>
      </w:r>
    </w:p>
    <w:p>
      <w:r>
        <w:t>Il laisse dès lors clairement apparaître, par ses déclarations et son comportement, qu'il n'est pas disposé à retourner volontairement dans son pays d'origine. Conformément à ce qu’exige la jurisprudence relative à l'art. 76 al. 1 let. b ch. 3 LEtr, il ne s’agit pas d’une simple supposition que la personne pourrait se soustraire au renvoi, mais d’un pronostic du comportement du recourant fondé</w:t>
      </w:r>
    </w:p>
    <w:p>
      <w:r>
        <w:t>- 9/12 - A/4133/2016 sur des éléments concrets qui font craindre que le recourant entende se soustraire au renvoi.</w:t>
      </w:r>
    </w:p>
    <w:p>
      <w:r>
        <w:t>Au vu de ce qui précède, les conditions d’application de l’art. 76 al. 1 let. b ch. 3 et 4 LEtr sont remplies.</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8</w:t>
      </w:r>
    </w:p>
    <w:p>
      <w:r>
        <w:t>a. En l’espèce, aucune autre mesure, moins incisive, n’est apte à garantir la présence du recourant lors de l’exécution du renvoi, celui-ci s’étant opposé tant verbalement que physiquement à son renvoi et ayant clairement affirmé sa volonté de ne pas être renvoyé dans son pays d’origine. La détention est en conséquence apte à atteindre le but voulu par le législateur, s’avère nécessaire compte tenu de l’attitude adoptée par le recourant et proportionnée au sens étroit, dès lors que conformément à la jurisprudence, si l’intérêt du recourant est grand à pouvoir rester en Suisse et y poursuivre les études universitaires qu’il a commencées il y a trois ans, l’intérêt public au respect des décisions de justice, en l’occurrence du TAF, doit primer. La détention est en conséquence proportionnée compte tenu de la proximité de la date du renvoi.</w:t>
      </w:r>
    </w:p>
    <w:p>
      <w:r>
        <w:t>Le principe de la proportionnalité est respecté.</w:t>
      </w:r>
    </w:p>
    <w:p>
      <w:r>
        <w:t>b. Dans l’appréciation du principe de la célérité des autorités, il doit être retenu que celles-ci ont interpellé l’intéressé le 2 décembre 2016, soit le jour du vol, respectant ainsi le principe de la proportionnalité, et qu’elles ont immédiatement entrepris de nouvelles démarches en vue de l’organisation d’un vol spécial.</w:t>
      </w:r>
    </w:p>
    <w:p>
      <w:r>
        <w:t>Le principe de célérité a été respecté.</w:t>
      </w:r>
    </w:p>
    <w:p>
      <w:r>
        <w:rPr>
          <w:b/>
        </w:rPr>
        <w:t>E. 9</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w:t>
      </w:r>
    </w:p>
    <w:p>
      <w:r>
        <w:t>- 10/12 - A/4133/2016 juridiques ou matérielles, ou qu’elle ne peut être raisonnablement exigée, cette dernière disposition légale renvoyant à l’art. 83 al. 1 à 4 LEtr.</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b.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w:t>
      </w:r>
    </w:p>
    <w:p>
      <w:r>
        <w:t>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w:t>
      </w:r>
    </w:p>
    <w:p>
      <w:r>
        <w:t>c. Le juge de la détention doit en principe seulement s'assurer qu'une décision de renvoi existe, sans avoir à vérifier la légalité de cette dernière (arrêts du Tribunal fédéral 2C_173/2014 du 17 février 2014 consid. 3.1 ; 2C_1177/2013 du 17 janvier 2014).</w:t>
      </w:r>
    </w:p>
    <w:p>
      <w:r>
        <w:t>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w:t>
      </w:r>
    </w:p>
    <w:p>
      <w:r>
        <w:t>d. En l'espèce, le dossier ne laisse apparaître aucun autre élément permettant de retenir que l'exécution du renvoi serait impossible, illicite ou inexigible au sens de la LEtr, si bien que le grief doit être écarté.</w:t>
      </w:r>
    </w:p>
    <w:p>
      <w:r>
        <w:t>- 11/12 - A/4133/2016</w:t>
      </w:r>
    </w:p>
    <w:p>
      <w:r>
        <w:rPr>
          <w:b/>
        </w:rPr>
        <w:t>E. 10</w:t>
      </w:r>
    </w:p>
    <w:p>
      <w:r>
        <w:t>Vu ce qui précède, le recours, infondé, sera rejeté.</w:t>
      </w:r>
    </w:p>
    <w:p>
      <w:r>
        <w:rPr>
          <w:b/>
        </w:rPr>
        <w:t>E. 11</w:t>
      </w:r>
    </w:p>
    <w:p>
      <w:r>
        <w:t>Vu la nature du litige, il ne sera pas perçu d’émolument (art. 87 al. 1 LPA et</w:t>
      </w:r>
    </w:p>
    <w:p>
      <w:r>
        <w:rPr>
          <w:b/>
        </w:rPr>
        <w:t>E. 12</w:t>
      </w:r>
    </w:p>
    <w:p>
      <w:r>
        <w:t>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