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ATA/1071/2017 vom 7. Juli 2017</w:t>
      </w:r>
    </w:p>
    <w:p>
      <w:r>
        <w:t>GE Cour de justice, 2017-07-07, FR</w:t>
      </w:r>
    </w:p>
    <w:p>
      <w:r>
        <w:rPr>
          <w:b/>
        </w:rPr>
        <w:t xml:space="preserve">Quelle: </w:t>
      </w:r>
      <w:r>
        <w:t>https://mcp.opencaselaw.ch/entscheid/ge_gerichte_ATA_1071_2017</w:t>
      </w:r>
    </w:p>
    <w:p>
      <w:r>
        <w:t>FR: GE_GERICHTE ATA/1071/2017 du 7 juillet 2017</w:t>
      </w:r>
    </w:p>
    <w:p>
      <w:r>
        <w:t>IT: GE_GERICHTE ATA/1071/2017 del 7 luglio 2017</w:t>
      </w:r>
    </w:p>
    <w:p>
      <w:pPr>
        <w:pStyle w:val="Heading2"/>
      </w:pPr>
      <w:r>
        <w:t>Erwägungen</w:t>
      </w:r>
    </w:p>
    <w:p>
      <w:r>
        <w:rPr>
          <w:b/>
        </w:rPr>
        <w:t>E. 25</w:t>
      </w:r>
    </w:p>
    <w:p>
      <w:r>
        <w:t>janvier 2017 ». Il percevrait CHF 82'267.00 annuellement. Un recours était possible devant la chambre administrative de la Cour de justice (ci-après : la chambre administrative). La décision était exécutoire nonobstant recours.</w:t>
      </w:r>
    </w:p>
    <w:p>
      <w:r>
        <w:t>- 3/6 - A/2268/2017 10) Par acte posté le 23 mai 2017, M. A______ a interjeté recours auprès de la chambre administrative contre la décision précitée, concluant préalablement à la restitution de l'effet suspensif au recours et, principalement, au constat de la nullité de la décision de diminution de traitement et de passage dans la classe de traitement correspondant à la catégorie H. Subsidiairement, la décision du 12 avril 2017 devait être annulée. Il devait être dit et constaté que le traitement de M. A______ devait continuer à correspondre à celui de la catégorie J de l’échelle de traitement. L’intimée devait être condamnée « en tous les dépens ». 11) Le 13 juin 2017, le Conseil administratif a conclu au rejet de la demande de restitution de l'effet suspensif au recours. 12) Le recourant n’ayant pas exercé son droit à la réplique, la cause a été gardée à juger sur effet suspensif. Considérant en droit : 1)</w:t>
      </w:r>
    </w:p>
    <w:p>
      <w:r>
        <w:t>Les décisions sur mesures provisionnelles sont prises par le président ou le vice-président de la chambre administrative ou, en cas d’empêchement de ceux-ci, par un autre juge (art. 21 al. 2 de la loi sur la procédure administrative du 12 septembre 1985 - LPA-GE - E 5 10 et art. 7 al. 1 du règlement interne de la chambre administrative du 26 septembre 2010). 2)</w:t>
      </w:r>
    </w:p>
    <w:p>
      <w:r>
        <w:t>Aux termes de l’art. 66 LPA,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3).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w:t>
      </w:r>
    </w:p>
    <w:p>
      <w:r>
        <w:t>- 4/6 - A/2268/2017 aliud, soit une mesure différente de celle demandée au fond (Isabelle HÄNER, op. cit., p. 265). 4)</w:t>
      </w:r>
    </w:p>
    <w:p>
      <w:r>
        <w:t>L'octroi de mesures provisionnelles présuppose l'urgence, à savoir que le refus de les ordonner crée pour l'intéressé la menace d'un dommage difficile à réparer (ATF 130 II 149 consid. 2.2 ; 127 II 132 consid. 3 = RDAF 2002 I 405).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w:t>
      </w:r>
    </w:p>
    <w:p>
      <w:r>
        <w:rPr>
          <w:b/>
        </w:rPr>
        <w:t>E. 27</w:t>
      </w:r>
    </w:p>
    <w:p>
      <w:r>
        <w:t>février 2014 consid. 5.5.1). 6)</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Le SPVG et le règlement d’application du statut du personnel de la Ville de Genève du 14 octobre 2009 (REGAP - LC 21 152.0) régissent les rapports de service entre la ville et son personnel (art. 1 SPVG).</w:t>
      </w:r>
    </w:p>
    <w:p>
      <w:r>
        <w:t>L’art. 41 SPVG règle le changement d’affectation d’un fonctionnaire. Les trois premiers alinéas concernent « les besoins du service ». Les deux derniers alinéas traitent d’un tel changement « en raison des prestations de la personne intéressée ». Lorsqu’il s’avère qu’un employé ne parvient pas à fournir des prestations suffisantes dans son poste, il peut, après avoir été entendu oralement, être transféré d’office dans un autre poste correspondant à ses qualifications et aptitudes (al. 4). Dans ce cas, le traitement est fixé conformément à la classification du nouveau poste après un délai équivalent au délai de préavis de l’art. 34 al. 1 SPVG.</w:t>
      </w:r>
    </w:p>
    <w:p>
      <w:r>
        <w:t>Selon l’art. 108 REGAP, en cas de changement d’affectation d’office, conformément à l’art. 41 al. 4 SPVG, la personne intéressée doit, si elle le demande, être préalablement entendue par la direction générale de la ville ou des ressources humaines. Elle a en outre le droit de se faire assister, la mesure envisagée faisant l’objet d’une décision motivée du conseil administratif. 8)</w:t>
      </w:r>
    </w:p>
    <w:p>
      <w:r>
        <w:t>En l'espèce, la diminution du traitement de l’intéressé en application de l’art. 41 al. 4 SPVG est litigieuse. Le transfert en tant que tel n’est pas contesté. Le bien-fondé des motifs allégués par l’intimée pour procéder au changement d’affectation en application de l’art. 41 al. 4 et 5 feront l’objet de la décision au fond.</w:t>
      </w:r>
    </w:p>
    <w:p>
      <w:r>
        <w:t>- 5/6 - A/2268/2017</w:t>
      </w:r>
    </w:p>
    <w:p>
      <w:r>
        <w:t>Le recourant ne développe aucune argumentation sur la question de l’effet suspensif, se limitant à conclure à sa restitution. Il n’invoque notamment pas la menace d'un dommage difficile à réparer. Pour ce seul motif, la demande en restitution de l’effet suspensif doit être rejetée.</w:t>
      </w:r>
    </w:p>
    <w:p>
      <w:r>
        <w:t>De surcroît, il est, prima facie, difficile de considérer que la différence entre les deux montants de rémunération mentionnés dans le dossier, soit quelques centaines de francs annuellement, impose de façon urgente le maintien de la situation antérieure.</w:t>
      </w:r>
    </w:p>
    <w:p>
      <w:r>
        <w:t>Par ailleurs la restitution de l'effet suspensif reviendrait à admettre le droit du recourant à continuer de percevoir – provisoirement – son précédent traitement, classé J, et correspondrait ainsi à ce qu'il demande au fond, ce qui est en principe prohibé (ATA/470/2015 du 18 mai 2015 consid. 4).</w:t>
      </w:r>
    </w:p>
    <w:p>
      <w:r>
        <w:t>Enfin, l’intérêt privé du recourant à conserver son traitement en classe J doit céder le pas à l’intérêt public à la préservation des finances de l’intimée, conformément à la jurisprudence constante de la chambre administrative (ATA/626/2016 du 19 juillet 2016 consid. 10 ; ATA/471/2016 du 6 juin 2016 et les références citées). 9)</w:t>
      </w:r>
    </w:p>
    <w:p>
      <w:r>
        <w:t>La demande de restitution de l'effet suspensif au recours sera dès lors rejetée, le sort des frais étant réservé jusqu'au prononcé de l'arrêt au fond.</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- 6/6 - A/2268/2017 communique la présente décision, en copie, à Me Christian Dandres, avocat du recourant ainsi qu'à la Ville de Genève.</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