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ATA/1069/2025 vom 30. September 2025</w:t>
      </w:r>
    </w:p>
    <w:p>
      <w:r>
        <w:t>GE Cour de justice, 2025-09-30, FR</w:t>
      </w:r>
    </w:p>
    <w:p>
      <w:r>
        <w:rPr>
          <w:b/>
        </w:rPr>
        <w:t xml:space="preserve">Quelle: </w:t>
      </w:r>
      <w:r>
        <w:t>https://mcp.opencaselaw.ch/entscheid/ge_gerichte_ATA_1069_2025</w:t>
      </w:r>
    </w:p>
    <w:p>
      <w:r>
        <w:t>FR: GE_GERICHTE ATA/1069/2025 du 30 septembre 2025</w:t>
      </w:r>
    </w:p>
    <w:p>
      <w:r>
        <w:t>IT: GE_GERICHTE ATA/1069/2025 del 30 settembre 2025</w:t>
      </w:r>
    </w:p>
    <w:p>
      <w:pPr>
        <w:pStyle w:val="Heading2"/>
      </w:pPr>
      <w:r>
        <w:t>Regeste</w:t>
      </w:r>
    </w:p>
    <w:p>
      <w:r>
        <w:t>Résumé: Confirmation du rejet d’une demande de regroupement familial sollicitée par une ressortissante congolaise souhaitant s’établir en Suisse auprès de son mari titulaire d’un permis B. Retraité, son époux est au bénéfice d’une rente de vieillesse, complétée par des prestations complémentaires. La recourante ne produit aucun document permettant de démontrer ses efforts pour s’intégrer sur le marché du travail en Suisse. En outre, la recourante ne rend pas vraisemblable que, dans un avenir proche, elle serait à même de réaliser durablement un revenu suffisant, de sorte qu’elle ne dépendrait pas des prestations complémentaires versées à son époux. Les intérêts privés à pouvoir bénéficier d’une autorisation de séjour doivent s’effacer face à l’intérêt public à ce que les personnes auxquelles une telle autorisation est délivrée ne dépendent pas prestations complémentaires (cf. art. 44 al. 1 let. e LEI).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refus d’octroi d’une autorisation de séjour à A______. 2.1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2.2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la RDC.</w:t>
      </w:r>
    </w:p>
    <w:p>
      <w:r>
        <w:t>- 5/11 - A/3909/2024 2.3 L’art. 44 LEI a été modifié avec effet au 1er janvier 2019. L’ajout de la condition selon laquelle la personne à l’origine de la demande de regroupement familial ne doit pas percevoir de PC constitue l’une des modifications nouvellement entrées en vigueur. Selon l’art. 44 al. 1 LEI, le conjoint étranger du titulaire d’une autorisation de séjour ainsi que ses enfants étrangers de moins de 18 ans peuvent obtenir une autorisation de séjour et la prolongation de celle-ci aux conditions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Cette disposition,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2.4 Les PC sont des prestations des assurances sociales, qui ne relèvent pas de la notion d’aide sociale au sens strict (ATF 141 II 401 consid. 5.1 ; ATF 135 II 265 consid. 3.7; arrêts du Tribunal fédéral 2C_502/2020 du 4 février 2021 consid. 5.1 ; 2C_615/2019 du 25 novembre 2019 consid. 5.5 ; 2C_13/2019 du 31 octobre 2019 consid. 3.1). Toutefois, de telles prestations représentent également des aides de l’État (arrêts du Tribunal fédéral 2C_ 615/2019 précité consid. 5.5 ; 2C_13/2019 précité consid. 3.1). C’est pourquoi il a été admis que l’on pouvait tenir compte, pour juger de la condition de l’absence de PC, des critères qui servent à évaluer la dépendance à l’aide sociale selon l’art. 44 al. 1 let. c LEI (arrêts du Tribunal fédéral 2C_ 914/2020 du 11 mars 2021 consid. 5.10). 2.5 À teneur des directives et commentaire du Secrétariat d’État aux migrations (ci-après : SEM), les moyens financiers doivent permettre aux membres de la famille de subvenir à leurs besoins sans dépendre de l’aide sociale (art. 44 al. 1 let. c LEI).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w:t>
      </w:r>
    </w:p>
    <w:p>
      <w:r>
        <w:t>- 6/11 - A/3909/2024 revenu peut selon toute vraisemblance être généré à long terme (poste de travail sûr et réel et possibilité effective d’exercer une activité lucrative compte tenu de la situation familiale ; SEM, Directives et commentaires, Domaine des étrangers, état au 15 septembre 2025, ch. 6.4.1.3). 2.6 La personne qui demande le regroupement familial ne doit percevoir aucunes PC, ni en percevoir dans un proche avenir en raison de la réunion familiale (art. 44 al. 1 let. e LEI ; SEM, Directives et commentaires, op. cit., ch. 6.4.1.3). 2.7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2.8 Les conditions prévues à l’art. 44 al. 1 let. c et e LEI, relatives respectivement au recours à l’aide sociale et aux PC, visent toutes deux à éviter une charge pour les finances publiques et à préserver le bien-être économique du pays (arrêts du Tribunal fédéral 2C_ 914/2020 précité consid. 5.10 et les références citées). Dès lors, la compatibilité de l’art. 44 al. 1 let. e LEI avec l’art. 8 CEDH doit être évaluée de la même façon que pour la condition de l’art. 44 al. 1 let. c LEI liée à l’aide sociale et peut être reconnue pour les mêmes raisons (arrêts du Tribunal fédéral 2C_ 914/2020 précité consid. 5.10). 2.9 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ATF 137 I 284 consid. 1.3). 2.10 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ATF 135 I 153 consid. 2.2.1). L’art. 8 CEDH n’emporte pas une obligation générale pour un État de respecter le choix par des immigrants de leur pays de résidence et d’autoriser le regroupement familial sur le territoire de ce pays (arrêts de la Cour européenne des droits de</w:t>
      </w:r>
    </w:p>
    <w:p>
      <w:r>
        <w:t>- 7/11 - A/3909/2024 l’homme [ci-après : ACEDH] Ahmut c. Pays-Bas, 28 novembre 1996, Rec. 1996-VI, req. n° 21702/93, § 67) ; il ne consacre pas le droit de choisir l’endroit le plus approprié à la poursuite de la vie familiale (DCEDH Adnane c. Pays-Bas, du 6 novembre 2011, req. n° 50568/99 ; Mensah c. Pays-Bas, du</w:t>
      </w:r>
    </w:p>
    <w:p>
      <w:r>
        <w:rPr>
          <w:b/>
        </w:rPr>
        <w:t>E. 9</w:t>
      </w:r>
    </w:p>
    <w:p>
      <w:r>
        <w:t>octobre 2001, req. n° 47042/99). Pour autant, les liens familiaux ne sauraient conférer de manière absolue un droit d’entrée et de séjour, ni non plus, pour un étranger, le droit de choisir le lieu de domicile de sa famille (ATF 142 II 35 consid. 6.1 ; ATF 139 I 330 consid. 2 et les arrêts cités).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(arrêts du Tribunal fédéral 2C_207/2017 du 2 novembre 2017 consid. 5.1 ; 2C_1172/2016 du 26 juillet 2017 consid. 4.1 ; 2C_1075/2015 du 28 avril 2016 consid. 3.1). Il n’est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Tribunal fédéral 2C_1172/2016 précité consid.4.1 ; arrêts du Tribunal fédéral 2C_1075/2015 précité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(ACEDH Konstantinov c. les Pays-Bas, du 26 avril 2007, req. n°16351/03, § 50 [« bien-être économique du pays »] et Hasanbasic c. Suisse, du 11 juin 2013, req. n°52166/09, § 59). 2.11 Selon l’art. 96 al. 1 LEI, les autorités compétentes tiennent compte, en exerçant leur pouvoir d’appréciation, des intérêts publics, de la situation personnelle de l’étranger, ainsi que de son intégration. 2.12 En l’espèce, l’époux de la recourante est âgé de 69 ans et retraité depuis le 1er juillet 2021. Il ne dépend pas de l’aide sociale mais bénéficie d’une rente de vieillesse, complétée par des PC. En 2023, ses revenus s’élevaient à CHF 34’129.25, comprenant CHF 9’840.- de rente AVS et CHF 24’289.25 de PC. Quant à la recourante, elle n’a produit aucun document permettant de démontrer ses efforts pour s’intégrer dans le marché du travail. Bien qu’elle affirme présenter toutes les capacités pour exercer une activité lucrative en Suisse, la recourante ne rend pas vraisemblable que dans un avenir proche, elle serait à même de réaliser durablement un revenu suffisant, de sorte qu’elle ne dépendrait pas des PC versées à son époux. L’argument selon lequel elle aurait hérité de biens immobiliers en RDC n’est pas plus convaincant, dans la mesure où celui-ci est mentionné en termes</w:t>
      </w:r>
    </w:p>
    <w:p>
      <w:r>
        <w:t>- 8/11 - A/3909/2024 extrêmement vagues dans son écriture, sans davantage d’explications. Ainsi, la chambre de céans ne discerne pas en quoi ces biens, sis en RDC, ou les hypothétiques revenus qu’ils engendreraient, seraient suffisants pour lui permettre de ne plus dépendre des PC de son mari. En outre, elle n’indique pas bénéficier d’une formation particulière qui lui permettrait de trouver rapidement un emploi en Suisse, ni même d’expériences professionnelles qu’elle pourrait valoriser et qui lui faciliteraient l’accès au marché de l’emploi. Enfin et surtout, elle indique que sa présence serait nécessaire pour prendre soin de son mari malade. Une telle occupation n’est pas compatible ou, en tout cas, compliquerait sa volonté d’exercer une activité lucrative. Par ailleurs, comme l’a relevé à juste titre le TAPI, sans perspective de gain, le couple n’aurait vraisemblablement pas les moyens financiers suffisants pour subvenir à ses besoins sans dépendre de l’aide sociale, quand bien même la recourante s’est engagée par écrit à renoncer à cette éventualité. Au regard de l’ensemble des circonstances du présent cas, les intérêts privés de la recourante à pouvoir bénéficier d’une autorisation de séjour doivent s’effacer face à l’intérêt public à ce que les personnes auxquelles une telle autorisation est délivrée ne dépendent ni de l’aide sociale ni de PC. Dès lors que les conditions énoncées à l’art. 44 al. 1 let. e LEI ne sont pas réalisées, c’est à bon droit et sans abuser de son pouvoir d’appréciation que l’OCPM, dont la motivation est détaillée et conforme au dossier, a refusé de délivrer l’autorisation de séjour sollicitée. 3. Sous l’angle de l’art. 8 CEDH, le raisonnement du TAPI est également exempt de défauts En effet, la recourante n’a jamais disposé d’un quelconque droit de séjour en Suisse. Le couple n’y a jamais fait ménage commun. Ainsi, lors de la formation de l’union conjugale, le 9 septembre 2019, les époux ne pouvaient ignorer que le statut de la recourante, vis-à-vis des autorités migratoires suisses était précaire. En tout état, l’une des conditions cumulatives de l’art. 44 LEI, soit la non-perception de PC, n’est pas remplie de sorte qu’elle ne saurait, par le biais de l’art. 8 CEDH, se voir délivrer une autorisation de séjour au titre du regroupement familial. Mal fondé, le recours sera ainsi rejeté. 4. Au vu de l’issue du litige, un émolument de CHF 400.- sera mis à la charge de la recourante (art. 87 al. 1 LPA) et aucune indemnité de procédure ne sera allouée (art. 87 al. 2 LPA).</w:t>
      </w:r>
    </w:p>
    <w:p>
      <w:r>
        <w:t>* * * * *</w:t>
      </w:r>
    </w:p>
    <w:p>
      <w:r>
        <w:t>- 9/11 - A/3909/2024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