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ATA/1069/2021 vom 12. Oktober 2021</w:t>
      </w:r>
    </w:p>
    <w:p>
      <w:r>
        <w:t>GE Cour de justice, 2021-10-12, FR</w:t>
      </w:r>
    </w:p>
    <w:p>
      <w:r>
        <w:rPr>
          <w:b/>
        </w:rPr>
        <w:t xml:space="preserve">Quelle: </w:t>
      </w:r>
      <w:r>
        <w:t>https://mcp.opencaselaw.ch/entscheid/ge_gerichte_ATA_1069_2021</w:t>
      </w:r>
    </w:p>
    <w:p>
      <w:r>
        <w:t>FR: GE_GERICHTE ATA/1069/2021 du 12 octobre 2021</w:t>
      </w:r>
    </w:p>
    <w:p>
      <w:r>
        <w:t>IT: GE_GERICHTE ATA/1069/2021 del 12 ottobre 2021</w:t>
      </w:r>
    </w:p>
    <w:p>
      <w:pPr>
        <w:pStyle w:val="Heading2"/>
      </w:pPr>
      <w:r>
        <w:t>Erwägungen</w:t>
      </w:r>
    </w:p>
    <w:p>
      <w:r>
        <w:rPr>
          <w:b/>
        </w:rPr>
        <w:t>E. 12</w:t>
      </w:r>
    </w:p>
    <w:p>
      <w:r>
        <w:t>septembre 1985 - LPA - E 5 10). 2)</w:t>
      </w:r>
    </w:p>
    <w:p>
      <w:r>
        <w:t>Est litigieuse l'irrecevabilité pour défaut de paiement de l'avance de frais du recours formé devant le TAPI.</w:t>
      </w:r>
    </w:p>
    <w:p>
      <w:r>
        <w:t>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Selon la jurisprudence, il convient d'appliquer par analogie la notion de cas de force majeure de l'art. 16 al. 1 LPA afin d'examiner si l'intéressé a été empêché sans sa faute de verser l'avance de frais dans le délai (ATA/1251/2020 du 18 décembre 2020 ; ATA/184/2019 du 26 février 2019 consid. 3). Tombent sous</w:t>
      </w:r>
    </w:p>
    <w:p>
      <w:r>
        <w:t>- 3/5 - A/2402/2021 cette notion les événements extraordinaires et imprévisibles qui surviennent en dehors de la sphère d’activité de l’intéressé et qui s’imposent à lui de l’extérieur de façon irrésistible (ATA/73/2016 du 26 janvier 2016 consid. 6c ; ATA/642/2015 du 16 juin 2015 consid. 4).</w:t>
      </w:r>
    </w:p>
    <w:p>
      <w:r>
        <w:t>b. Le fardeau de la preuve de la notification d'un acte incombe à l'autorité, qui entend en tirer une conséquence juridique. Si elle veut se prémunir contre le risque d'échec de la preuve de la notification, elle doit communiquer ses décisions par pli recommandé (ATF 129 I 8 consid. 2.2). Lorsque le destinataire d'un tel envoi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 130 III 396 consid. 1.2.3). Cette fiction de notification n'est applicable que lorsque la communication doit être attendue avec une certaine vraisemblance, ce qui est le cas lorsqu’une procédure est pendante (ATF 139 IV 228 consid. 1.1).</w:t>
      </w:r>
    </w:p>
    <w:p>
      <w:r>
        <w:t>c. La jurisprudence établit la présomption réfragable que l'employé postal a correctement inséré l'avis de retrait dans la boîte aux lettres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être intervenue en ces lieu et date. Le délai de garde de sept jours commence alors à courir. Le destinataire ne doit cependant pas apporter la preuve stricte de l'absence de remise, s'agissant d'un fait négatif ; il suffit d'établir qu'il existe une vraisemblance prépondérante que des erreurs se soient produites lors de la notification (ATF 142 IV 201 consid. 2.3).</w:t>
      </w:r>
    </w:p>
    <w:p>
      <w:r>
        <w:t>La présomption du dépôt régulier de l'avis de retrait a été considérée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ou encore lorsque la date du dépôt de l'avis de retrait enregistrée dans le système de suivi ne correspondait pas à la date du dépôt effectif dudit avis dans la case postale du conseil du recourant (arrêts du Tribunal fédéral 1C_552/2018 du 24 octobre 2018 consid. 3.1 ; 5A_28/2015 du 22 mai 2015 consid. 3.1.2 et les références citées).</w:t>
      </w:r>
    </w:p>
    <w:p>
      <w:r>
        <w:t>d. En l’espèce, il ressort du suivi des envois de la Poste que la recourante a été avisée le 16 juillet 2021 du pli recommandé. Celle-ci n'évoque aucune circonstance qui permettrait, avec le degré de vraisemblance prépondérante requis par la jurisprudence, de renverser la présomption qu'un avis de retrait avait été déposé dans sa boîte aux lettres le 16 juillet 2021. Partant, il y a lieu de retenir que</w:t>
      </w:r>
    </w:p>
    <w:p>
      <w:r>
        <w:t>- 4/5 - A/2402/2021 le pli recommandé était réputé notifié le dernier jour du délai de garde de sept jours, à savoir le 23 juillet 2021. Cette fiction est opposable à la recourante, qui avait saisi le TAPI d’un recours et devait, donc, s’attendre à une communication de celui-ci.</w:t>
      </w:r>
    </w:p>
    <w:p>
      <w:r>
        <w:t>Le délai de paiement étant fixé au 16 août 2021, la recourante disposait, après la fiction de la notification de l’invitation à payer l’avance de frais, d’un délai de 24 jours, soit d’un délai suffisant pour effectuer le paiement.</w:t>
      </w:r>
    </w:p>
    <w:p>
      <w:r>
        <w:t>Pour le surplus, elle ne fait pas valoir qu’elle aurait été empêchée sans sa faute de verser l'avance de frais dans le délai et aucun élément au dossier n’indique l’existence d’un cas de force majeure au sens de l’art. 16 LPA.</w:t>
      </w:r>
    </w:p>
    <w:p>
      <w:r>
        <w:t>Dans ces circonstances, le TAPI était fondé à déclarer le recours irrecevable pour défaut de paiement de l’avance de frais. Mal fondé, le recours sera donc rejeté, sans échange d’écritures (art. 72 LPA). 3)</w:t>
      </w:r>
    </w:p>
    <w:p>
      <w:r>
        <w:t>Vu l’issue du litige, un émolument de CHF 400.-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