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ATA/1065/2015 vom 6. Oktober 2015</w:t>
      </w:r>
    </w:p>
    <w:p>
      <w:r>
        <w:t>GE Cour de justice, 2015-10-06, FR</w:t>
      </w:r>
    </w:p>
    <w:p>
      <w:r>
        <w:rPr>
          <w:b/>
        </w:rPr>
        <w:t xml:space="preserve">Quelle: </w:t>
      </w:r>
      <w:r>
        <w:t>https://mcp.opencaselaw.ch/entscheid/ge_gerichte_ATA_1065_2015</w:t>
      </w:r>
    </w:p>
    <w:p>
      <w:r>
        <w:t>FR: GE_GERICHTE ATA/1065/2015 du 6 octobre 2015</w:t>
      </w:r>
    </w:p>
    <w:p>
      <w:r>
        <w:t>IT: GE_GERICHTE ATA/1065/2015 del 6 ottobre 2015</w:t>
      </w:r>
    </w:p>
    <w:p>
      <w:pPr>
        <w:pStyle w:val="Heading2"/>
      </w:pPr>
      <w:r>
        <w:t>Regeste</w:t>
      </w:r>
    </w:p>
    <w:p>
      <w:r>
        <w:t>Résumé: Le placement en régime de sécurité renforcée ne revêt pas le caractère d'une sanction, mais constitue une mesure visant à sauvegarder la sécurité collective et à réduire les risques de troubles au sein de l'établissement. Le recourant a violé à plusieurs reprises le RRIP Son comportement a mis en péril la sécurité de la prison et troublé l'ordre et la tranquillité de l'établissement. En prononçant le placement du recourant en régime de sécurité renforcée pour une durée de trois mois, la direction de la prison n'a pas outrepassé son pouvoir d'appréciation, ni violé les droits fondamentaux du recourant. Recours rejeté.</w:t>
      </w:r>
    </w:p>
    <w:p>
      <w:pPr>
        <w:pStyle w:val="Heading2"/>
      </w:pPr>
      <w:r>
        <w:t>Erwägungen</w:t>
      </w:r>
    </w:p>
    <w:p>
      <w:r>
        <w:rPr>
          <w:b/>
        </w:rPr>
        <w:t>E. 26</w:t>
      </w:r>
    </w:p>
    <w:p>
      <w:r>
        <w:t>septembre 2010 -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w:t>
      </w:r>
    </w:p>
    <w:p>
      <w:r>
        <w:rPr>
          <w:b/>
        </w:rPr>
        <w:t>E. 28</w:t>
      </w:r>
    </w:p>
    <w:p>
      <w:r>
        <w:t>juillet 2009).</w:t>
      </w:r>
    </w:p>
    <w:p>
      <w:r>
        <w:t>e. En l’espèce, le recourant dispose d'un intérêt digne de protection à recourir contre la sanction prononcée contre lui. La légalité de la sanction doit pouvoir</w:t>
      </w:r>
    </w:p>
    <w:p>
      <w:r>
        <w:t>- 5/8 - A/1509/2015 faire l’objet d’un contrôle en vertu de la jurisprudence du Tribunal fédéral précitée, nonobstant l’absence d’intérêt actuel, puisqu’elle a déjà été exécutée, dans la mesure où cette situation pourrait encore se présenter (ATA/183/2013 du 19 mars 2013 et la jurisprudence citée), dès lors qu'il ne ressort pas du dossier qu'il aurait quitté l’établissement à ce jour.</w:t>
      </w:r>
    </w:p>
    <w:p>
      <w:r>
        <w:t>Le recours est donc recevable de ce point de vue aussi. 3) a. Le 10 avril 2006, les cantons de Fribourg, Vaud, Valais, Neuchâtel, Genève, Jura et Tessin ont conclu le concordat sur l’exécution des peines privatives de liberté et des mesures concernant les adultes et les jeunes adultes dans les cantons latins (concordat latin sur la détention pénale des adultes du 10 avril 2006 - CLDPA - E 4 55). La Conférence latine des autorités cantonales compétentes en matière d'exécution des peines et des mesures (ci-après : la conférence) est l’un des organes de la CLDPA (art. 2 let. a CLDPA). Elle a notamment pour attribution d’arrêter dans un règlement la liste des établissements destinés à l'exécution des peines et des mesures relevant du CLDPA et les règles minima.</w:t>
      </w:r>
    </w:p>
    <w:p>
      <w:r>
        <w:t>b. La prison de Champ-Dollon relève du concordat, conformément au règlement du 29 octobre 2010 listant les établissements pour l'exécution des privations de liberté à caractère pénal établi par la conférence.</w:t>
      </w:r>
    </w:p>
    <w:p>
      <w:r>
        <w:t>c. Les personnes détenues placées dans un établissement concordataire sont soumises aux prescriptions légales et réglementaires du canton où l’établissement a son siège, notamment en matière disciplinaire (art. 19 CLDPA). 4)</w:t>
      </w:r>
    </w:p>
    <w:p>
      <w:r>
        <w:t>Quand bien même le régime en cause ne constitue pas une sanction (infra consid. 5c), il relève d'un aspect sécuritaire en lien avec le respect des normes réglementaires régissant la prison. Les autorités pénitentiaires genevoises étaient donc compétentes pour adopter la décision attaquée. 5) a. L'objet de la présente procédure est le placement de M. A______ en régime de sécurité renforcée pour une durée de trois mois, à savoir du 16 mai au 15 juillet 2015. Il ne saurait en revanche être question de se prononcer sur le transfèrement du recourant dans un établissement d'exécution de peines, décision qui ressortit à la compétence des autorités pénitentiaires vaudoises.</w:t>
      </w:r>
    </w:p>
    <w:p>
      <w:r>
        <w:t>b. La détention en commun peut être interdite si elle présente des inconvénients ou des risques, notamment pour ce qui concerne la sauvegarde de la sécurité collective (art. 50 al. 1 du règlement sur le régime intérieur de la prison et le statut des personnes incarcérées du 30 septembre 1985 - RRIP - F 1 50.04). La mesure de mise en régime de sécurité renforcée permet de réduire les risques de troubles au sein de la prison.</w:t>
      </w:r>
    </w:p>
    <w:p>
      <w:r>
        <w:t>Cette mesure figure dans le titre « règles particulières » applicables aux prévenus ou aux condamnés. Elle constitue une exception au régime normal</w:t>
      </w:r>
    </w:p>
    <w:p>
      <w:r>
        <w:t>- 6/8 - A/1509/2015 (art. 49 RRIP) et ne figure pas dans la liste exhaustive des sanctions énoncées à l'art. 47 al. 3 RRIP.</w:t>
      </w:r>
    </w:p>
    <w:p>
      <w:r>
        <w:t>c. Il résulte clairement de ces dispositions que le placement en régime de sécurité renforcée ne constitue pas une sanction (Lukas HUBER, Disziplinarmassnahmen im Strafvollzug, Basler Studien zur Rechtswissenschaft, Band 46, 1995, p. 22 et 23). Il s'agit d'une décision au sens de l'art. 4 LPA, susceptible de recours auprès de la chambre administrative (ATA/188/2011 précité ; ATA/533/2008 au 28 octobre 2008).</w:t>
      </w:r>
    </w:p>
    <w:p>
      <w:r>
        <w:t>d. Par conséquent, le placement du recourant en régime de sécurité renforcée ne revêt pas le caractère d'une sanction, mais constitue bien une mesure visant à sauvegarder la sécurité collective et à réduire les risques de troubles au sein de l'établissement. 6) a. Un prévenu est placé en régime de sécurité renforcée si la détention en commun présente des inconvénients ou des risques, notamment pour ce qui concerne la sauvegarde de la sécurité collective, pour une durée maximale de six mois, renouvelable (art. 50 RRIP).</w:t>
      </w:r>
    </w:p>
    <w:p>
      <w:r>
        <w:t>b.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Thierry TANQUEREL, Manuel de droit administratif, 2011, p. 187).</w:t>
      </w:r>
    </w:p>
    <w:p>
      <w:r>
        <w:t>c. En l'espèce, dès après son transfèrement à la prison de Champ-Dollon, le recourant a, de par son comportement, violé à plusieurs reprises les interdictions de l'art. 45 RRIP, ce qu'il ne conteste pas, tout en minimisant la portée de ses agissements. Il a été régulièrement sanctionné pour avoir troublé l'ordre de l'établissement et proféré des menaces et des injures, accompagnées parfois de résistance physique, au détriment des gardiens et du personnel soignant. Il y a lieu d'admettre que son comportement a mis en péril la sécurité de la prison et troublé l'ordre et la tranquillité de l'établissement.</w:t>
      </w:r>
    </w:p>
    <w:p>
      <w:r>
        <w:t>Dès lors, face à l'intérêt privé incontestable du recourant à entretenir des relations sociales plus denses avec ses codétenus dans le cadre du régime ordinaire de la détention, l'intérêt public à la sécurité, à l'ordre et à la tranquillité de la prison ne peut que primer. La décision litigieuse est ainsi justifiée.</w:t>
      </w:r>
    </w:p>
    <w:p>
      <w:r>
        <w:t>- 7/8 - A/1509/2015</w:t>
      </w:r>
    </w:p>
    <w:p>
      <w:r>
        <w:t>La durée maximale du placement en régime de sécurité renforcée étant de six mois, celle de trois mois prononcée est adéquate, au vu du nombre et de la régularité des actes de transgression du RRIP commis par le recourant en un laps de temps relativement bref, soit entre le 31 mars et le 13 avril 2015.</w:t>
      </w:r>
    </w:p>
    <w:p>
      <w:r>
        <w:t>D'autres mesures ne peuvent être envisagées, dès lors que les sanctions dont il a déjà fait l'objet, ne l'ont pas incité jusqu'à présent à changer son comportement.</w:t>
      </w:r>
    </w:p>
    <w:p>
      <w:r>
        <w:t>La proportionnalité de la mesure prononcée est ainsi respectée.</w:t>
      </w:r>
    </w:p>
    <w:p>
      <w:r>
        <w:t>La décision permet à l'évidence de réduire et de prévenir le risque que le recourant mette derechef en péril la sécurité de l'établissement.</w:t>
      </w:r>
    </w:p>
    <w:p>
      <w:r>
        <w:t>Partant, en prononçant le placement du recourant en régime de sécurité renforcée pour une durée de trois mois, la direction de la prison n'a pas outrepassé son pouvoir d'appréciation, ni violé les droits fondamentaux du recourant. 7)</w:t>
      </w:r>
    </w:p>
    <w:p>
      <w:r>
        <w:t>Par conséquent, le recours sera rejeté et la décision attaquée confirmée. 8)</w:t>
      </w:r>
    </w:p>
    <w:p>
      <w:r>
        <w:t>Vu la nature du litige et son issue, aucun émolument ne sera perçu, ni aucune indemnité de procédure allouée (art. 87 al. 1 et 2 LPA ; art. 12 du règlement sur les frais, émoluments et indemnités en procédure administrative du</w:t>
      </w:r>
    </w:p>
    <w:p>
      <w:r>
        <w:rPr>
          <w:b/>
        </w:rPr>
        <w:t>E. 30</w:t>
      </w:r>
    </w:p>
    <w:p>
      <w:r>
        <w:t>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