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ATA/1060/2017 vom 4. Juli 2017</w:t>
      </w:r>
    </w:p>
    <w:p>
      <w:r>
        <w:t>GE Cour de justice, 2017-07-04, FR</w:t>
      </w:r>
    </w:p>
    <w:p>
      <w:r>
        <w:rPr>
          <w:b/>
        </w:rPr>
        <w:t xml:space="preserve">Quelle: </w:t>
      </w:r>
      <w:r>
        <w:t>https://mcp.opencaselaw.ch/entscheid/ge_gerichte_ATA_1060_2017</w:t>
      </w:r>
    </w:p>
    <w:p>
      <w:r>
        <w:t>FR: GE_GERICHTE ATA/1060/2017 du 4 juillet 2017</w:t>
      </w:r>
    </w:p>
    <w:p>
      <w:r>
        <w:t>IT: GE_GERICHTE ATA/1060/2017 del 4 luglio 2017</w:t>
      </w:r>
    </w:p>
    <w:p>
      <w:pPr>
        <w:pStyle w:val="Heading2"/>
      </w:pPr>
      <w:r>
        <w:t>Regeste</w:t>
      </w:r>
    </w:p>
    <w:p>
      <w:r>
        <w:t>Résumé: Absence de violation du principe de l'interdiction de la double imposition vu que l'entreprise en raison individuelle visée a bien son domicile dans le canton de Genève, l'autre société mentionnée, domiciliée dans le canton de Zoug, n'étant pas l'objet de la procédure en rappel d'impôt. Ouverte sur la base d'une dénonciation d'un tiers pour les périodes fiscales 2005, 2006 et 2007, celle-ci pouvait être étendue ultérieurement aux périodes fiscales 2003, 2004 et 2008, sur la base des renseignements obtenus dans ce contexte. Au stade de la procédure de taxation, la véracité et la conformité des déclarations d'impôt remises incombaient au contribuable. L'autorité n'a pu vérifier précisément la répartition des charges et des revenus dans la comptabilité de l'entreprise en raison individuelle, qu'une fois en possession des documents détaillés. Portant ainsi sur des éléments nouveaux, les reprises effectuées, concernant des frais non-justifiés par l'usage commercial, sont admises. L'utilisation d'une activité de loisir privée, soit l'équitation, comme moyen de prospection ne justifie encore pas d'imputer tous les frais en résultant à l'activité lucrative indépendante. Recours rejeté.</w:t>
      </w:r>
    </w:p>
    <w:p>
      <w:pPr>
        <w:pStyle w:val="Heading2"/>
      </w:pPr>
      <w:r>
        <w:t>Erwägungen</w:t>
      </w:r>
    </w:p>
    <w:p>
      <w:r>
        <w:rPr>
          <w:b/>
        </w:rPr>
        <w:t>E. 18</w:t>
      </w:r>
    </w:p>
    <w:p>
      <w:r>
        <w:t>avril 1999 (Cst. - RS 101)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(ATF 134 I 303 consid. 2.1 ; 133 I 308 consid. 2.1 ; 132 I 29 consid. 2.1 ; 131 I 285 consid. 2.1).</w:t>
      </w:r>
    </w:p>
    <w:p>
      <w:r>
        <w:t>b. En l'espèce, l'intimée a informé le recourant le 8 octobre 2010 de l'ouverture d'une procédure en rappel d'impôt et d'une procédure pénale en soustraction d'impôt à son encontre pour les périodes fiscales 2005 à 2007 sur la base d'une dénonciation de l'AFC-CH. Selon les renseignements fournis, il avait en effet bénéficié de prestations de la part de F______ sous forme de paiement de loyer. Si le recourant a pu établir que les montants en question avaient en réalité été versés à C______ à titre de « sponsoring », il n'en demeure pas moins que la dénonciation précitée concernait initialement son agence. Les contrats de sponsoring en cause ne lui ont d'ailleurs été demandés que pour prouver l'absence de lien entre l'agence et les montants visés. La procédure en rappel d'impôt a donc bien été ouverte à l'égard du recourant, domicilié à Genève, en sa qualité de représentant de son agence, entreprise en raison individuelle. 4)</w:t>
      </w:r>
    </w:p>
    <w:p>
      <w:r>
        <w:t>Le recourant reproche également à l'AFC-GE d'avoir étendu ultérieurement ladite procédure en rappel d'impôt aux années 2003, 2004 et 2008, après qu'il avait apporté la preuve que les sommes versées par F______ avait été attribuées à C______ à titre de « sponsoring ». Il conteste aussi les reprises effectuées par l'AFC-GE, particulièrement pour ses frais de représentation, par rapport aux charges de l'agence, comptabilisées pour les années 2003 à 2008. 5) a. Tant en matière d’ICC que d’IFD, le contribuable doit être informé, lors de l’ouverture d’une procédure pour soustraction d’impôt, de son droit de refuser de déposer et de collaborer (art. 76 al. 1 LPFisc ; art. 183 al. 1 LIFD). Ces dispositions visent à assurer les garanties en matière procédurale de l’art. 6 § 1 et § 2 de la Convention de sauvegarde des droits de l’homme et des libertés fondamentales du 4 novembre 1950 (CEDH - RS 0.101), soit le droit à un procès équitable dans lequel le contribuable ne peut s’accuser lui-même et le droit à la présomption d’innocence.</w:t>
      </w:r>
    </w:p>
    <w:p>
      <w:r>
        <w:t>- 21/28 - A/2456/2015</w:t>
      </w:r>
    </w:p>
    <w:p>
      <w:r>
        <w:t>b. La violation de cette obligation interdit à l’administration d’exploiter les moyens de preuve qui seraient obtenus par la contrainte dans le cadre de la procédure pour soustraction d’impôts. Elle n’empêche toutefois pas l’autorité d’exploiter les éléments qui existaient indépendamment de la volonté de la personne contre qui l’enquête est diligentée (ATF 138 IV 47 = JDT 2012 IV 292 c. 2.6.1 ainsi que les références citées).</w:t>
      </w:r>
    </w:p>
    <w:p>
      <w:r>
        <w:t>c. Les conditions régissant le rappel d’impôt sont réglementées de manière similaire aux plans fédéral et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1ère phr. de la loi fédérale sur l’harmonisation des impôts directs des cantons et des communes du 14 décembre 1990 - LHID - RS 642.14 ; art.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Le rappel d’impôt, RDAF 1999 II 3 p. 12).</w:t>
      </w:r>
    </w:p>
    <w:p>
      <w:r>
        <w:t>d. Le rappel d’impôt n’est soumis qu’à des conditions objectives et implique qu’une taxation n’a, à tort, pas été établie ou est restée incomplète, de sorte que la collectivité publique a subi une perte fiscale.</w:t>
      </w:r>
    </w:p>
    <w:p>
      <w:r>
        <w:t>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précité consid. 8.1 ; 2C_1225/2012 du 7 juin 2013 consid. 3.1 ; 2C_724/2010 du 27 juillet 2011 consid. 8.1 ; 2C_104/2008 du 20 juin 2008 consid. 3.3 ; 2A.300/2006 du 27 février 2007 consid. 3.3).</w:t>
      </w:r>
    </w:p>
    <w:p>
      <w:r>
        <w:t>Pour sa part, le contribuable doit remplir la formule de déclaration d’impôt de manière conforme à la vérité et complète et y joindre les annexes (art. 124 al. 2 LIFD ; art. 26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w:t>
      </w:r>
    </w:p>
    <w:p>
      <w:r>
        <w:t>- 22/28 - A/2456/2015 consid. 5.1). Les personnes physiques dont le revenu provient d’une activité lucrative indépendante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 art. 42 al. 3 LHID ; art. 29 al. 2 LPFisc).</w:t>
      </w:r>
    </w:p>
    <w:p>
      <w:r>
        <w:t>e. En d’autres termes, l’autorité fiscale ne doit se livrer à des investigations complémentaires au moment de procéder à la taxation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op. cit.,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w:t>
      </w:r>
    </w:p>
    <w:p>
      <w:r>
        <w:rPr>
          <w:b/>
        </w:rPr>
        <w:t>E. 22</w:t>
      </w:r>
    </w:p>
    <w:p>
      <w:r>
        <w:t>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ATA/513/2016 du 14 juin 2016 consid. 4e ; ATA/1017/2015 du 29 septembre 2015 consid. 3d ; Hugo CASANOVA, op. cit., p. 12).</w:t>
      </w:r>
    </w:p>
    <w:p>
      <w:r>
        <w:t>f. La casuistique en matière de rappel d’impôt est abondante (ATA/1222/2015 du 10 novembre 2015 consid. 4).</w:t>
      </w:r>
    </w:p>
    <w:p>
      <w:r>
        <w:t>Les conditions du rappel d’impôt ont notamment été considérées comme remplies dans le cas de contribuables pour lesquels de nombreux frais à caractère privé avaient été passés en charge de l’activité commerciale, réduisant de la sorte</w:t>
      </w:r>
    </w:p>
    <w:p>
      <w:r>
        <w:t>- 23/28 - A/2456/2015 le revenu imposable (arrêt du Tribunal fédéral 2C_132/2010 du 10 février 2010 confirmant l’ATA/657/2009 du 15 décembre 2009), de même que dans celui dans lequel un appartement avait été comptabilisé comme servant à l’activité professionnelle alors qu’il était utilisé comme logement et qu’un contrôle fiscal opéré dans la comptabilité d’une société, dont le contribuable était l’administrateur et l’actionnaire, avait mis en évidence une différence entre le total des sommes perçues et les montants comptabilisés (ATA/360/2011 du 7 juin 2011). Un motif de rappel d’impôt a également été admis dans le cas d’un contribuable ayant déclaré le bénéfice de liquidation d’une société dont il était actionnaire dans ses éléments de fortune, omettant de mentionner ce bénéfice comme revenu, sans en informer l’autorité fiscale (arrêt du Tribunal fédéral 2A.182/2002 du 25 avril 2003). 6)</w:t>
      </w:r>
    </w:p>
    <w:p>
      <w:r>
        <w:t>En l’occurrence, c'est à juste titre que le premier juge a rappelé la distinction entre les conditions d'ouverture de la procédure en rappel d'impôt et les conditions pour procéder au rappel d'impôt en tant que tel. Comme rappelé précédemment, l’AFC-GE a ouvert une procédure en rappel d'impôt et une procédure pénale en soustraction d'impôt à l'encontre du recourant sur la base d'informations communiquées par l'AFC-CH, lesquelles étaient de nature à constituer des soupçons, justifiant l'ouverture de ladite procédure le 8 octobre 2010. Dans la mesure où les documents comptables remis par le recourant dans ce contexte avaient soulevé d'autres soupçons, l'intimée disposait de la faculté de l'étendre ultérieurement, soit les 1er décembre 2010 et 26 mars 2013, aux périodes fiscales 2003, 2004 et 2008. Ce n'est qu'une fois en possession des documents comptables détaillés que l'AFC-GE a pu vérifier précisément la répartition des charges et des revenus dans la comptabilité de l'agence. Cet examen lui a alors permis de constater que des frais privés et des dépenses sans lien avec l'activité commerciale ou professionnelle du recourant avaient été comptabilisés, tandis que certaines commissions perçues ne l'étaient pas. Ces dernières ont d'ailleurs fait l'objet d'une dénonciation spontanée de la part du recourant. Contrairement aux allégations de ce dernier, au stade de la procédure de taxation, l'intimée n'avait pas à investiguer davantage le contenu des déclarations d'impôt remises, dont certaines avaient dû faire l'objet de taxation d'office. La véracité et la conformité de celles-ci lui incombaient. Les reprises effectuées portaient donc bien sur des éléments nouveaux dont l'AFC-GE ne pouvait avoir connaissance antérieurement.</w:t>
      </w:r>
    </w:p>
    <w:p>
      <w:r>
        <w:t>Les conditions d’ouverture d’une procédure en rappel d’impôt sont par conséquent réalisées. Il en va de même des conditions permettant de procéder au rappel d'impôt en tant que tel, soit aux reprises effectuées par l'intimée dans les charges imputées à l'agence pour les périodes fiscales 2003 à 2009. 7)</w:t>
      </w:r>
    </w:p>
    <w:p>
      <w:r>
        <w:t>Il convient dès lors d'examiner le bien-fondé des reprises contestées, pour lesquelles le recourant invoque notamment l'application d'un accord passé de l'AFC-GE concernant l'admission d'une déduction forfaitaire de 30 % du revenu</w:t>
      </w:r>
    </w:p>
    <w:p>
      <w:r>
        <w:t>- 24/28 - A/2456/2015 déterminant pour les frais de représentation et de déplacement des agents d'assurance exerçant une activité dépendante.</w:t>
      </w:r>
    </w:p>
    <w:p>
      <w:r>
        <w:t>a. L'impôt sur le revenu frappe le revenu net, lequel s'obtient en défalquant des revenus bruts les déductions admises par la loi.</w:t>
      </w:r>
    </w:p>
    <w:p>
      <w:r>
        <w:t>Aux termes des art. 27 al. 1 LIFD et 3 al. 3 aLIPP-V, les contribuables exerçant une activité lucrative indépendante peuvent déduire les frais qui sont justifiés par l'usage commercial ou professionnel. En font notamment partie les dépenses faites pour l'exploitation d'un commerce, d'une industrie ou d'une entreprise et celles qui sont nécessaires pour l'exercice d'une profession ou d'un métier (art. 3 al. 3 let. a aLIPP-V).</w:t>
      </w:r>
    </w:p>
    <w:p>
      <w:r>
        <w:t>b. La question de la déduction des pertes liées à une activité lucrative indépendante est réglée de manière similaire par les législations fiscales cantonale et fédérale (ATA/146/2011 du 8 mars 2011 consid. 6 ; ATA/126/2010 du 2 mars 2010 consid. 6 ; dans ce sens également : circulaire de la direction de l’AFC-GE du 22 novembre 2002 aux associations professionnelles [Information n° 7/2002]). Le présent contentieux relatif à l’ICC et l’IFD peut donc en l’espèce être tranché suivant les mêmes principes.</w:t>
      </w:r>
    </w:p>
    <w:p>
      <w:r>
        <w:t>La distinction entre frais professionnels déductibles et frais privés non déductibles peut être délicate chez l'indépendant. L'autorité de taxation doit notamment apprécier le caractère professionnellement usuel de la dépense ; pour ce faire, elle dispose en particulier de l'information recueillie lors de la taxation des autres indépendants de la même branche (arrêts du Tribunal fédéral 2C_132/2010 précité ; 2C_658/2007 du 13 février 2008 consid. 2.1 ; Yves NOËL, op. cit., n. 21 ad art. 27 LIFD).</w:t>
      </w:r>
    </w:p>
    <w:p>
      <w:r>
        <w:t>D'une manière générale, seront admises en déduction toutes les dépenses en relation avec l'activité professionnelle, en particulier les salaires, les primes d'assurances professionnelles, les frais de transport (arrêt du Tribunal fédéral 2C_612/2012 et 2C_613/2012 du 26 février 2013 consid. 7.3.1 ; Xavier OBERSON, Droit fiscal suisse, 2012, p. 172 n. 275). La possibilité de déduire ces frais est conditionnée à la preuve de leur nécessité au regard de l'activité poursuivie. À cet égard, le renvoi du législateur à l'usage, commercial ou professionnel, donne à l'autorité de taxation un pouvoir d'appréciation important, renforcé par le fait qu'elle ne supporte pas le fardeau de la preuve du refus de déduction. La distinction entre frais professionnels, déductibles, et frais privés, non déductibles, peut être délicate chez l'indépendant. L'autorité de taxation doit notamment apprécier le caractère professionnellement usuel de la dépense (arrêt du Tribunal fédéral 2C_612/2012 et 2C_613/2012 précité consid. 7.3.1 ; 2C_132/2010 du 17 août 2010 consid. 3.2 ; ATA/715/2010 du 19 octobre 2010 consid. 3).</w:t>
      </w:r>
    </w:p>
    <w:p>
      <w:r>
        <w:t>- 25/28 - A/2456/2015</w:t>
      </w:r>
    </w:p>
    <w:p>
      <w:r>
        <w:t>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(ATA/378/2007 du 7 août 2007 consid. 7c ; ATA/169/2007 du 3 avril 2007).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était en relation directe avec l'acquisition ou le maintien du chiffre d'affaires. Il ne suffit pas d'en tenir une liste. Pour des frais de restaurant ainsi que pour les autres dépenses, le contribuable doit produire les factures correspondantes et préciser quels sont les clients et relations d'affaires qui ont bénéficié de ses invitations ou de ses cadeaux (arrêt du Tribunal fédéral 2A.461/2001 du 21 février 2002 consid. 3.1 ; ATA/378/2007 précité consid. 7c). 8)</w:t>
      </w:r>
    </w:p>
    <w:p>
      <w:r>
        <w:t>In casu, le recourant se borne à produire devant la chambre de céans, les documents similaires à ceux produits devant les autorités précédentes, sans apporter aucune précision supplémentaire sur la justification de ses frais de représentation, se contentant de répéter les mêmes explications d'ordre général. Ainsi, il dépose à nouveau les calendriers des manifestations équestres des années 2003 à 2009 en y annexant un grand nombre de notes d'hôtels et de restaurants. S'il apparaît effectivement que les dates des factures produites correspondent à celles de certains évènements équestres, il ne ressort toutefois aucun lien entre ceux-ci, d'une part, ni entre ceux-ci et l'activité professionnelle du recourant, d'autre part. Concernant la prise en considération des frais afférents à sa remorque dont l'usage unique consiste à transporter son cheval, seul l'autocollant publicitaire apposé paraît effectivement relever de l'usage commercial. Le fait qu'il utilise l'équitation, qu'il pratique à titre privé, comme un moyen de prospection ne l'autorise encore pas à imputer la totalité de ses frais équestres à l'exercice de son activité professionnelle. La liste conséquente de reçus qu'il produit en alléguant de manière globale que ces frais sont liés à son activité professionnelle et commerciale, ne démontre manifestement aucun lien entre les dépenses engagées et le bénéfice pouvant en résulter. Aucun nom de client n'y figure. Il en va de même de l'achat d'articles équestres et de luxe destinés à sa clientèle. Nonobstant les deux attestations de clients établies à cet égard, elles ne mentionnent aucun article précis, à défaut d'en indiquer le montant. Le tableau des clients remis, au contenu difficilement compréhensible, ne permet pas davantage d'établir une quelconque corrélation entre ceux-ci et les « cadeaux » qui leur auraient été prétendument offerts. Le recourant a pourtant eu la possibilité à maintes reprises de fournir des pièces complètes, claires et précises corroborant ses dires.</w:t>
      </w:r>
    </w:p>
    <w:p>
      <w:r>
        <w:t>S'agissant de l'application à la situation dont est objet d'un accord de l'AFC-GE prévoyant une réduction forfaitaire de 30 % pour les frais de</w:t>
      </w:r>
    </w:p>
    <w:p>
      <w:r>
        <w:t>- 26/28 - A/2456/2015 représentation et de déplacement des agents d'assurance exerçant une activité dépendante, force est de constater que le recourant n’entre pas dans cette catégorie. Ainsi que l'ont relevé les autorités précédentes, il ne démontre pas non plus appartenir à un autre groupe professionnel bénéficiant de telles dispositions. Dès lors qu'il a fait valoir des réductions basées sur des frais effectifs ressortant de sa comptabilité, il ne saurait invoquer une déduction forfaitaire qui ne lui est pas applicable pour pallier ses soustractions injustifiées.</w:t>
      </w:r>
    </w:p>
    <w:p>
      <w:r>
        <w:t>Au vu de ce qui précède, le premier juge a retenu à bon droit que le recourant n'a pas apporté d'éléments suffisamment probants pour établir que les frais repris par l'AFC-GE sont effectivement des frais professionnels susceptibles d'être déduits. Il doit ainsi supporter les conséquences de l'échec de cette preuve et les bordereaux de rappel d'impôt pour les périodes fiscales 2003 à 2009. 9) a. En règle générale, l’amende est fixée au montant de l’impôt soustrait. Si la faute est légère, l’amende peut être réduite jusqu’au tiers de ce montant ; si la faute est grave, elle peut au plus être triplée (art. 175 al. 2 LIFD, 56 al. 2 LHID et 69 al. 2 LPFisc).</w:t>
      </w:r>
    </w:p>
    <w:p>
      <w:r>
        <w:t>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et la chambre administrative ne les censure qu’en cas d’excès dans l’exercice de ce pouvoir (ATA/410/2007 du 28 août 2007 consid. 20 ; ATA/317/2007 du 12 juin 2007 consid. 7). Ces autorités doivent, dans le respect du principe de la proportionnalité, faire preuve de sévérité afin d’assurer le respect de la loi (ATA/18/2013 du 8 janvier 2013).</w:t>
      </w:r>
    </w:p>
    <w:p>
      <w:r>
        <w:t>c. En l'espèce, dans la fixation de la quotité de l'amende, l'AFC-GE a tenu compte de la bonne collaboration du recourant durant toute la procédure, pour la réduire d'un quart. Compte tenu du fait que les soustractions fiscales relevées ont porté sur des sommes relativement importantes durant six ans, aucune circonstance ne permet de considérer qu'une réduction plus importante encore des amendes infligées se justifierait.</w:t>
      </w:r>
    </w:p>
    <w:p>
      <w:r>
        <w:t>- 27/28 - A/2456/2015</w:t>
      </w:r>
    </w:p>
    <w:p>
      <w:r>
        <w:t>L’AFC-GE est donc largement restée dans le cadre du pouvoir d’appréciation que la loi lui accorde. La quotité des amendes sera confirmée, tant en matière d’ICC que d’IFD. 10) Il s’ensuit que le recours sera rejeté. 11) Un émolument de CHF 1'000.-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