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ATA/105/2014 vom 18. Februar 2014</w:t>
      </w:r>
    </w:p>
    <w:p>
      <w:r>
        <w:t>GE Cour de justice, 2014-02-18, FR</w:t>
      </w:r>
    </w:p>
    <w:p>
      <w:r>
        <w:rPr>
          <w:b/>
        </w:rPr>
        <w:t xml:space="preserve">Quelle: </w:t>
      </w:r>
      <w:r>
        <w:t>https://mcp.opencaselaw.ch/entscheid/ge_gerichte_ATA_105_2014</w:t>
      </w:r>
    </w:p>
    <w:p>
      <w:r>
        <w:t>FR: GE_GERICHTE ATA/105/2014 du 18 février 2014</w:t>
      </w:r>
    </w:p>
    <w:p>
      <w:r>
        <w:t>IT: GE_GERICHTE ATA/105/2014 del 18 febbraio 2014</w:t>
      </w:r>
    </w:p>
    <w:p>
      <w:pPr>
        <w:pStyle w:val="Heading2"/>
      </w:pPr>
      <w:r>
        <w:t>Erwägungen</w:t>
      </w:r>
    </w:p>
    <w:p>
      <w:r>
        <w:rPr>
          <w:b/>
        </w:rPr>
        <w:t>E. 12</w:t>
      </w:r>
    </w:p>
    <w:p>
      <w:r>
        <w:t>septembre 1985 - LPA - E 5 10). 2)</w:t>
      </w:r>
    </w:p>
    <w:p>
      <w:r>
        <w:t>Les décisions de retrait d’une autorisation de former prises par l’OFCP en application des art. 55 de la loi sur la formation professionnelle du 15 juin 2007 (LFP - C 2 05) et 38 al. 1 ou 2 du règlement d’application de la loi sur l’orientation, la formation professionnelle du 17 mars 2008 (RFP - C 2 05.01) peuvent faire l’objet d’une opposition auprès de la direction de cet office dans les trente jours suivant leur notification (art. 83 LFP). 3) a. Les délais de réclamation et de recours fixés par la loi sont des dispositions impératives de droit public. Ils ne sont, en principe, pas susceptibles d’être prolongés (art. 16 al. 1 LPA), restitués ou suspendus, si ce n’est par le législateur lui-même (SJ 1989 418). A cet égard, l’art. 17A al. 1 LPA, en vigueur en août 2013, remplacé dès le 16 novembre 2013 par l’art. 63 al. 1 LPA sans que cela prête conséquence puisque que ce dernier est de même teneur, prévoit que les délais en jours ou en mois, fixés par la loi ou l’autorité, ne courent pas, notamment, du 15 juillet au 15 août inclusivement (let. b). Celui qui n’agit pas dans le délai prescrit est forclos et la décision en cause acquiert force obligatoire (SJ 2000 I 22 consid. 2 p. 24 ; ATA/347/2012 du 5 juin 2012 consid. 4a ; ATA/284/2012 du 8 mai 2012 consid. 4 ; ATA/50/2009 du 27 janvier 2009 consid. 2 et les références citées).</w:t>
      </w:r>
    </w:p>
    <w:p>
      <w:r>
        <w:t>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4)</w:t>
      </w:r>
    </w:p>
    <w:p>
      <w:r>
        <w:t>En l’espèce, selon les recherches effectuées auprès de La Poste, la recourante a reçu le 3 août 2013 la décision litigieuse. Compte tenu de la période estivale de suspension des délais de l’art. 63 al.1 let. b LPA, le délai pour faire opposition n’a commencé à courir que le 16 août 2013 pour échoir le</w:t>
      </w:r>
    </w:p>
    <w:p>
      <w:r>
        <w:rPr>
          <w:b/>
        </w:rPr>
        <w:t>E. 15</w:t>
      </w:r>
    </w:p>
    <w:p>
      <w:r>
        <w:t>septembre 2013. Cette date tombant sur un dimanche, cette échéance est reportée au prochain jour ouvrable utile (art. 17 al. 3 LPA), soit le lundi</w:t>
      </w:r>
    </w:p>
    <w:p>
      <w:r>
        <w:rPr>
          <w:b/>
        </w:rPr>
        <w:t>E. 16</w:t>
      </w:r>
    </w:p>
    <w:p>
      <w:r>
        <w:t>septembre 2013.</w:t>
      </w:r>
    </w:p>
    <w:p>
      <w:r>
        <w:t>- 4/7 - A/3973/2013</w:t>
      </w:r>
    </w:p>
    <w:p>
      <w:r>
        <w:t>En postant son opposition le 12 novembre 2013 à l’autorité intimée, la recourante n’a pas respecté le délai précité. 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 ; D. YERSIN / Y. NOËL, Commentaire de la loi sur l’impôt fédéral direct, 2007, ad art. 133 p. 1283 n. 14 et 15).</w:t>
      </w:r>
    </w:p>
    <w:p>
      <w:r>
        <w:t>b. Pour établir l’existence d’un cas de force majeure, le fardeau de la preuve incombe à l’intéressé (ATA/744/2012 du 30 octobre 2012 consid. 7 et les références citées). 7)</w:t>
      </w:r>
    </w:p>
    <w:p>
      <w:r>
        <w:t>En l’espèce, la recourante n’invoque pas et ne démontre pas l’existence d’un cas de force majeure l’ayant empêchée de procéder dans les délais légaux. Des retard causés par une mauvaise organisation interne, des périodes de surcharge, de vacances, des voyages ou de féries religieuses ne constituent pas des motifs autorisant la restitution des délais, car ils ne constituent pas des cas de force majeure. L’inobservation du délai de recours par la recourante n’était donc pas justifiée.</w:t>
      </w:r>
    </w:p>
    <w:p>
      <w:r>
        <w:t>Aucun autre motif de force majeure n’ayant été établi, ni même allégué, la décision de la direction de l’OFPC de considérer que l’opposition était tardive ne peut qu’être confirmée. 8)</w:t>
      </w:r>
    </w:p>
    <w:p>
      <w:r>
        <w:t>Il reste à examiner si l’autorité intimée n’aurait pas dû comprendre le courrier considéré comme une demande de reconsidération, notamment au vu des termes liés à une reconsidération que la recourante avait employés. 9)</w:t>
      </w:r>
    </w:p>
    <w:p>
      <w:r>
        <w:t>Selon l’art. 48 al. 1 LPA, l’autorité a l’obligation de reconsidérer sa décision lorsqu’un motif de révision au sens de l’art. 80 let. a et b LPA existe (T. TANQUEREL, Manuel de droit administratif, 2011, p. 478 n. 1421 ss ; P. MOOR, Droit administratif, vol. 2, 2011, p. 398 n. 2.4.4.1 let. b).</w:t>
      </w:r>
    </w:p>
    <w:p>
      <w:r>
        <w:t>- 5/7 - A/3973/2013</w:t>
      </w:r>
    </w:p>
    <w:p>
      <w:r>
        <w:t>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w:t>
      </w:r>
    </w:p>
    <w:p>
      <w:r>
        <w:t>Selon l’art. 48 al. 1 let. b LPA,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par-là sa remise en cause (ATA/335/2013 du 28 mai 2013 consid. 4 ; T. TANQUEREL, op. cit., n. 1422 : P. MOOR, op.cit., n. 2.4.4.2). 10) Il appartient au recourant d’établir l’existence du cas de révision en l’exposant en détail dans sa requête et par une offre de preuve de moyens probants à sa disposition afin de permettre à l’autorité de déterminer si elle doit ou non entrer en matière sur la requête. En l’espèce, le courrier du 12 novembre 2013 à l’autorité décisionnaire ne se référait à aucun motif lui permettant de comprendre pour quelle raison la recourante demandait une révision de la décision du 29 juillet 2013, malgré son entrée en force.</w:t>
      </w:r>
    </w:p>
    <w:p>
      <w:r>
        <w:t>Sous l’angle de l’art. 48 al. 1 LPA, l’OFPC n’aurait également pu que déclarer irrecevable la requête contenue dans le courrier précité, si bien que sa décision sera entièrement confirmée, moyennant une substitution partielle de motifs. 11) Le recours, manifestement mal fondé, sera rejeté sans qu’il soit ordonné des mesures d’instruction (art. 72 LPA). 12) Un émolument de CHF 400.- sera mis à la charge de la recourante (art. 87 al. 1 LPA). Aucune indemnité ne lui sera allouée (art. 87 al. 2 LPA).</w:t>
      </w:r>
    </w:p>
    <w:p>
      <w:r>
        <w:t>- 6/7 - A/3973/2013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