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ATA/105/2013 vom 19. Februar 2013</w:t>
      </w:r>
    </w:p>
    <w:p>
      <w:r>
        <w:t>GE Cour de justice, 2013-02-19, FR</w:t>
      </w:r>
    </w:p>
    <w:p>
      <w:r>
        <w:rPr>
          <w:b/>
        </w:rPr>
        <w:t xml:space="preserve">Quelle: </w:t>
      </w:r>
      <w:r>
        <w:t>https://mcp.opencaselaw.ch/entscheid/ge_gerichte_ATA_105_2013</w:t>
      </w:r>
    </w:p>
    <w:p>
      <w:r>
        <w:t>FR: GE_GERICHTE ATA/105/2013 du 19 février 2013</w:t>
      </w:r>
    </w:p>
    <w:p>
      <w:r>
        <w:t>IT: GE_GERICHTE ATA/105/2013 del 19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LEtr du 16 décembre 2005, du 16 juin 1988 - LaLEtr - F 2 10, a contrario).</w:t>
      </w:r>
    </w:p>
    <w:p>
      <w:r>
        <w:rPr>
          <w:b/>
        </w:rPr>
        <w:t>E. 3</w:t>
      </w:r>
    </w:p>
    <w:p>
      <w:r>
        <w:t>Le séjour en Suisse en vue d’y exercer une activité lucrative est soumis à autorisation (art. 11 renvoyant aux art. 18 ss de la LEtr). Cette dernière doit être requise auprès du canton de prise d’emploi (art. 11 al. 1 LEtr).</w:t>
      </w:r>
    </w:p>
    <w:p>
      <w:r>
        <w:rPr>
          <w:b/>
        </w:rPr>
        <w:t>E. 4</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- 7/11 - A/2307/2011</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w:t>
      </w:r>
    </w:p>
    <w:p>
      <w:r>
        <w:rPr>
          <w:b/>
        </w:rPr>
        <w:t>E. 9</w:t>
      </w:r>
    </w:p>
    <w:p>
      <w:r>
        <w:t>novembre 2010). 5.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L’étranger admis à titre provisoire reçoit un titre de séjour qui indique son statut juridique (art. 41 al. 2 LEtr). Le titre de séjour de l’étranger admis à titre provisoire est établi par le canton de séjour (art. 85 al. 1 LEtr).</w:t>
      </w:r>
    </w:p>
    <w:p>
      <w:r>
        <w:t>- 8/11 - A/2307/2011</w:t>
      </w:r>
    </w:p>
    <w:p>
      <w:r>
        <w:t>c. L’admission provisoire prend fin lorsque l’intéressé quitte définitivement la Suisse ou obtient une autorisation de séjour (art. 84 al. 4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(art. 84 al. 5 LEtr).</w:t>
      </w:r>
    </w:p>
    <w:p>
      <w:r>
        <w:t>d. Cette dernière disposition ne confère en outre pas de droit à l'obtention d'une autorisation de séjour (Arrêts du Tribunal fédéral 2C_1003/2012 du 9 octobre 2012 consid. 2 ; 2C_195/2010 du 23 juin 2010 consid. 6.3 ; 2C_663/2009 du 23 février 2010 consid. 4.1 ; 2C_216/2009 du 20 août 2009 consid. 2.2).</w:t>
      </w:r>
    </w:p>
    <w:p>
      <w:r>
        <w:t>e. De plus, l'art. 84 al. 5 LEtr. ne constitue pas un fondement juridique autorisant l'octroi d'une autorisation de séjour ; celle-ci est décernée dans un tel cas sur la base de l'art. 30 LEtr (Arrêt du Tribunal fédéral 2C_766/2009 du 26 mai 2010 consid. 4).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f. Au vu de la condition posée par l'art. 84 al. 5 LEtr, le pouvoir d'appréciation de l'autorité est ainsi limité (M. SPESCHA/A. KERLAND/U. BOLZLI, Handbuch zum Migrationsrecht, 2010, p. 109), et l'on doit partir de l'idée d'un séjour en Suisse d'une certaine durée, ainsi que d'une impossibilité de réintégration dans l'Etat d'origine (R. ILLES, in M. CARONI/ T. GÄCHTER/D.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LEtr (Arrêt du Tribunal administratif fédéral C-835/2010 précité consid. 6.2; Arrêt du Tribunal fédéral 2C_22/2009 du 5 octobre 2009 consid. 2.2.2). 6.</w:t>
      </w:r>
    </w:p>
    <w:p>
      <w:r>
        <w:t>En l'espèce, la recourante et ses filles résident en Suisse depuis un peu plus de dix ans. Comme mentionné ci-dessus, le seul fait que l'ODM n'ait pas remis en cause leur admission provisoire en Suisse démontre qu'une réintégration dans leur pays d'origine est difficilement envisageable.</w:t>
      </w:r>
    </w:p>
    <w:p>
      <w:r>
        <w:t>- 9/11 - A/2307/2011</w:t>
      </w:r>
    </w:p>
    <w:p>
      <w:r>
        <w:t>Le fait que la recourante ait occupé à quatre reprises les services de police depuis son arrivée à Genève doit être retenu avec circonspection, dans la mesure où aucune de ces interventions n'a débouché sur une condamnation pénale.</w:t>
      </w:r>
    </w:p>
    <w:p>
      <w:r>
        <w:t>Le fait que la recourante n'ait travaillé que de manière sporadique, qu'elle ait dû recourir pour des périodes étendues à l'aide sociale et qu'elle ait des actes de défaut de biens représente un échec en matière d'intégration, même en tenant compte de son état de mère seule. L'OCP pouvait de ce fait refuser la délivrance d'une autorisation de séjour - du moins en l'état, puisqu'il a expressément réservé la possibilité d'une reconsidération. 7.</w:t>
      </w:r>
    </w:p>
    <w:p>
      <w:r>
        <w:t>Mal fondé, le recours sera rejeté. 8.</w:t>
      </w:r>
    </w:p>
    <w:p>
      <w:r>
        <w:t>Malgré l'issue du litige, aucun émolument ne sera perçu, la recourante plaidant au bénéfice de l'assistance juridique (art. 87 al. 1 et 3 LPA et art. 12 al. 1 du règlement sur les frais, émoluments et indemnités en procédure administrative du 30 juillet 1986 - RFPA - E 5 10.03). Vu cette issue,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