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ATA/1055/2017 vom 4. Juli 2017</w:t>
      </w:r>
    </w:p>
    <w:p>
      <w:r>
        <w:t>GE Cour de justice, 2017-07-04, FR</w:t>
      </w:r>
    </w:p>
    <w:p>
      <w:r>
        <w:rPr>
          <w:b/>
        </w:rPr>
        <w:t xml:space="preserve">Quelle: </w:t>
      </w:r>
      <w:r>
        <w:t>https://mcp.opencaselaw.ch/entscheid/ge_gerichte_ATA_1055_2017</w:t>
      </w:r>
    </w:p>
    <w:p>
      <w:r>
        <w:t>FR: GE_GERICHTE ATA/1055/2017 du 4 juillet 2017</w:t>
      </w:r>
    </w:p>
    <w:p>
      <w:r>
        <w:t>IT: GE_GERICHTE ATA/1055/2017 del 4 luglio 2017</w:t>
      </w:r>
    </w:p>
    <w:p>
      <w:pPr>
        <w:pStyle w:val="Heading2"/>
      </w:pPr>
      <w:r>
        <w:t>Erwägungen</w:t>
      </w:r>
    </w:p>
    <w:p>
      <w:r>
        <w:rPr>
          <w:b/>
        </w:rPr>
        <w:t>E. 12</w:t>
      </w:r>
    </w:p>
    <w:p>
      <w:r>
        <w:t>septembre 1985 - LPA - E 5 10). 2)</w:t>
      </w:r>
    </w:p>
    <w:p>
      <w:r>
        <w:t>Selon l’art 10 al. 1 de la loi sur la navigation dans les eaux genevoises du</w:t>
      </w:r>
    </w:p>
    <w:p>
      <w:r>
        <w:rPr>
          <w:b/>
        </w:rPr>
        <w:t>E. 17</w:t>
      </w:r>
    </w:p>
    <w:p>
      <w:r>
        <w:t>mars 2006 (LNav - H 2 05), l’amarrage et le dépôt de bateaux dans les eaux genevoises et sur le domaine public, le long des rives, sont subordonnés à une autorisation « à bien plaire », personnelle et intransmissible. Ces autorisations ne</w:t>
      </w:r>
    </w:p>
    <w:p>
      <w:r>
        <w:t>- 3/5 - A/2007/2017 sont délivrées que contre paiement d’un émolument administratif et d’une redevance annuelle (art. 11 al. 1 LNav).</w:t>
      </w:r>
    </w:p>
    <w:p>
      <w:r>
        <w:t>L’art 16 al. 1 LNav prévoit que le défaut de paiement de la redevance annuelle entraîne de plein droit la caducité de l’autorisation. 3)</w:t>
      </w:r>
    </w:p>
    <w:p>
      <w:r>
        <w:t>D’une manière générale, l’autorité doit respecter le principe de la proportionnalité, garanti par l’art. 5 al. 2 de la Constitution fédérale de la Confédération suisse du 18 avril 1999 (Cst. - RS 101). Ce dernier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p. 222 et les références citées). 4)</w:t>
      </w:r>
    </w:p>
    <w:p>
      <w:r>
        <w:t>En l’espèce, la décision litigieuse constitue une application stricte et rigide de la législation citée ci-dessus.</w:t>
      </w:r>
    </w:p>
    <w:p>
      <w:r>
        <w:t>Les explications données par la recourante, soit des difficultés suite au départ du comptable n’empêchent pas qu’elle ait à prendre toutes les mesures qui permettent d’assurer le suivi de ses obligations étatiques.</w:t>
      </w:r>
    </w:p>
    <w:p>
      <w:r>
        <w:t>Cela dit, au vu de la demande de la recourante de conserver une place, de l’accord, à titre exceptionnel de l’autorité intimée et de la preuve, versée au dossier, de paiements sans qu’il ne ressorte toutefois clairement de la pièce s’ils concernent une ou deux places, il sera donné acte aux parties de leur accord que la recourante conserve la place n° 2______.</w:t>
      </w:r>
    </w:p>
    <w:p>
      <w:r>
        <w:t>La décision concernant la place n° 1______, non contestée dans l’acte de recours, sera confirmée.</w:t>
      </w:r>
    </w:p>
    <w:p>
      <w:r>
        <w:t>L’attention de l’intéressée sera toutefois très fermement attirée sur le fait qu’elle devra, à l’avenir, honorer la taxe d’amarrage strictement dans le délai ressortant des factures qu’elle reçoit, à défaut de quoi la place amarrage dont elle bénéficie lui sera alors retirée. 5)</w:t>
      </w:r>
    </w:p>
    <w:p>
      <w:r>
        <w:t>Au vu de ce qui précède, le recours sera partiellement admis et la décision litigieuse partiellement annulée.</w:t>
      </w:r>
    </w:p>
    <w:p>
      <w:r>
        <w:t>Vu l’issue du litige, un émolument de CHF 250.- sera mis à la charge de la recourante (art. 87 al. 1 LPA) et aucune indemnité ne sera allouée (art. 87 al. 2 LPA).</w:t>
      </w:r>
    </w:p>
    <w:p>
      <w:r>
        <w:t>- 4/5 - A/2007/2017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