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ATA/1053/2023 vom 26. September 2023</w:t>
      </w:r>
    </w:p>
    <w:p>
      <w:r>
        <w:t>GE Cour de justice, 2023-09-26, FR</w:t>
      </w:r>
    </w:p>
    <w:p>
      <w:r>
        <w:rPr>
          <w:b/>
        </w:rPr>
        <w:t xml:space="preserve">Quelle: </w:t>
      </w:r>
      <w:r>
        <w:t>https://mcp.opencaselaw.ch/entscheid/ge_gerichte_ATA_1053_2023</w:t>
      </w:r>
    </w:p>
    <w:p>
      <w:r>
        <w:t>FR: GE_GERICHTE ATA/1053/2023 du 26 septembre 2023</w:t>
      </w:r>
    </w:p>
    <w:p>
      <w:r>
        <w:t>IT: GE_GERICHTE ATA/1053/2023 del 26 settembre 2023</w:t>
      </w:r>
    </w:p>
    <w:p>
      <w:pPr>
        <w:pStyle w:val="Heading2"/>
      </w:pPr>
      <w:r>
        <w:t>Erwägungen</w:t>
      </w:r>
    </w:p>
    <w:p>
      <w:r>
        <w:rPr>
          <w:b/>
        </w:rPr>
        <w:t>E. 1</w:t>
      </w:r>
    </w:p>
    <w:p>
      <w:r>
        <w:t>Le recours a été interjeté en temps utile devant la juridiction compétente (art. 28 al. 3 loi LBPE ; art. 132 de la loi sur l'organisation judiciaire du 26 septembre 2010 - LOJ - E 2 05 ; art. 62 al. 1 let. a de la loi sur la procédure administrative du 12 septembre 1985 - LPA - E 5 10).</w:t>
      </w:r>
    </w:p>
    <w:p>
      <w:r>
        <w:rPr>
          <w:b/>
        </w:rPr>
        <w:t>E. 2</w:t>
      </w:r>
    </w:p>
    <w:p>
      <w:r>
        <w:t>La recourante sollicite la production de la décision d’octroi de la bourse pour l’année 2021-2022.</w:t>
      </w:r>
    </w:p>
    <w:p>
      <w:r>
        <w:rPr>
          <w:b/>
        </w:rPr>
        <w:t>E. 2.1</w:t>
      </w:r>
    </w:p>
    <w:p>
      <w:r>
        <w:t>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l’occurrence, en demandant la production de la copie de la décision d’octroi de la bourse pour l’année scolaire 2021-2022, la recourante entend que la chambre administrative statue en comparant sa situation actuelle par rapport à celle de l’année précédente. Dans la mesure où les bourses constituent des prestations uniques ou périodiques non remboursables et sont octroyées pour une période déterminée, selon des critères dont la comparaison avec les années précédentes ne fait pas partie, il n’est pas nécessaire d’ordonner la production d’une décision portant sur une période antérieure, qui plus est qui lui a été notifiée.</w:t>
      </w:r>
    </w:p>
    <w:p>
      <w:r>
        <w:rPr>
          <w:b/>
        </w:rPr>
        <w:t>E. 3</w:t>
      </w:r>
    </w:p>
    <w:p>
      <w:r>
        <w:t>L’objet du litige consiste à déterminer si c’est à bon droit que le SBPE a refusé à la recourante une bourse d’études pour l'année académique 2022/2023, correspondant à sa dernière année d'études en vue de l’obtention de la maturité gymnasiale.</w:t>
      </w:r>
    </w:p>
    <w:p>
      <w:r>
        <w:rPr>
          <w:b/>
        </w:rPr>
        <w:t>E. 3.1</w:t>
      </w:r>
    </w:p>
    <w:p>
      <w:r>
        <w:t>La LBPE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LBPE).</w:t>
      </w:r>
    </w:p>
    <w:p>
      <w:r>
        <w:t>- 5/11 - A/371/2023</w:t>
      </w:r>
    </w:p>
    <w:p>
      <w:r>
        <w:rPr>
          <w:b/>
        </w:rPr>
        <w:t>E. 3.2</w:t>
      </w:r>
    </w:p>
    <w:p>
      <w:r>
        <w:t>Les bourses d'études sont des prestations uniques ou périodiques non remboursables, qui permettent aux bénéficiaires d'entreprendre, de poursuivre ou de terminer une formation (art. 4 al. 1 LBPE).</w:t>
      </w:r>
    </w:p>
    <w:p>
      <w:r>
        <w:rPr>
          <w:b/>
        </w:rPr>
        <w:t>E. 3.3</w:t>
      </w:r>
    </w:p>
    <w:p>
      <w:r>
        <w:t>Aux termes de l'art. 5 LBPE, les aides financières sont accordées sous forme de bourses, de prêts ou de remboursement de taxes (al. 1). Demeurent réservés les cas qui, au sens de l'art. 26 LBPE, peuvent donner lieu à une conversion des prêts en bourses d'études (al. 2).</w:t>
      </w:r>
    </w:p>
    <w:p>
      <w:r>
        <w:rPr>
          <w:b/>
        </w:rPr>
        <w:t>E. 3.4</w:t>
      </w:r>
    </w:p>
    <w:p>
      <w:r>
        <w:t>Le chapitre II de la LBPE règle les conditions d'octroi. L'art. 11 LBPE liste les formations pouvant donner lieu à une bourse (al. 1) ou à un prêt (al. 2). Selon l’art. 11 al. 1 let. b ch. 1 LBPE, peuvent donner droit à des bourses les formations initiales (secondaire II) les formations menant à la maturité spécialisée (école de culture générale) et à la maturité gymnasiale.</w:t>
      </w:r>
    </w:p>
    <w:p>
      <w:r>
        <w:rPr>
          <w:b/>
        </w:rPr>
        <w:t>E. 3.5</w:t>
      </w:r>
    </w:p>
    <w:p>
      <w:r>
        <w:t>L’art. 18 LBPE prévoit que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(al. 1). Le revenu déterminant est celui résultant de la LRDU (al. 2). Selon l’art. 19 LBPE, les frais reconnus engendrés par la formation et l'entretien de la personne en formation servent de base de calcul pour les aides financières. Le règlement peut prévoir des exceptions, notamment pour la formation professionnelle non universitaire (al. 1). 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(al. 2). Le calcul du découvert est établi à partir du budget des parents ou des personnes légalement tenues au financement de la personne en formation. Ce budget tient compte des revenus et des charges minimales pour couvrir les besoins essentiels (al. 3).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Selon l’art. 20 al. 1 LBPE, sont considérés comme frais résultant de l'entretien : (a) un montant de base défini par le règlement ; (b) les frais de logement sur la base des forfaits par nombre de personnes définis dans le règlement ; (c) les</w:t>
      </w:r>
    </w:p>
    <w:p>
      <w:r>
        <w:t>- 6/11 - A/371/2023 primes d'assurance-maladie obligatoire dans les limites des forfaits définis par le règlement ; (d) le supplément d'intégration par personne suivant une formation dans les limites des forfaits définis par le règlement ; (e) les impôts cantonaux tels qu'ils figurent dans les bordereaux établis par l'administration fiscale cantonale et (f) les frais de déplacement et de repas sur la base des forfaits définis dans le règlement. Selon l’art. 20 al. 2 LBPE, sont considérés comme frais résultant de la formation les forfaits fixés par le règlement. Selon l’art. 9 du règlement d'application de la loi sur les bourses et prêts d'études du 2 mai 2012 (RBPE - C 1 20.01), le budget des parents ou des personnes légalement tenues au financement de la personne en formation sert à déterminer la situation financière de la personne en formation (al. 1). Un budget commun est établi pour les parents qui sont mariés ou vivent en ménage commun sans être mariés (al. 2). Si le budget présente un excédent (a) de ressources, il est divisé par le nombre d'enfants et pris en considération dans le calcul du budget de la personne en formation, (b) de charges, il est divisé par le nombre de personnes qui composent la famille et considéré comme une charge dans le calcul du budget de la personne en formation. L’art. 10 RBPE prévoit que le budget de la personne en formation prend en considération la situation (a) des besoins de la personne en formation, (b) des besoins de son conjoint ou de sa conjointe, (c) des besoins des enfants à charge, (d) des besoins des personnes liées par un partenariat enregistré et (e) des besoins d’autres personnes à charge faisant ménage commun (al. 1). Sont intégrés dans le budget de la personne en formation tous les revenus réalisés par la personne pendant son année de formation, ainsi que ceux des personnes définies à l'al. 1 (al. 2). Le montant de base défini à l'art. 20 al. 1 let. a LBPE, de la loi couvre notamment les besoins de base en nourriture, vêtements et loisirs. Il correspond au montant de base mensuel des normes d'insaisissabilité en vigueur dans le canton de Genève (art. 12 al. 1 RBPE). Les forfaits d'assurance-maladie sont basés sur les primes faisant référence à Genève selon la législation sur l’aide sociale (art. 12 al. 3 RBPE). Le supplément d'intégration s'élève à CHF 1'200.-. Il est octroyé dans le budget de la famille pour chaque personne en formation (art. 12 al. 4 RBPE). Les frais de déplacement pris en compte dans le budget de la personne en formation correspondent au coût de l’abonnement annuel des transports publics genevois, notamment lorsque le lieu de résidence et de formations se situant dans le même canton (art. 12 al. 5 let. a RBPE). Les frais annuels de formation sont fixés à CHF 2'000.- pour le degré secondaire II, classes préparatoires qui lui sont rattachées comprises, et à CHF 3'000.- pour le degré tertiaire, classes préparatoires qui lui sont rattachées comprises, quel que soit le lieu de formation (art. 13 al. 1 RBPE). Les taxes d'immatriculation et d'inscription aux examens sont incluses dans le forfait de formation (art. 13 al. 2 RBPE).</w:t>
      </w:r>
    </w:p>
    <w:p>
      <w:r>
        <w:t>- 7/11 - A/371/2023</w:t>
      </w:r>
    </w:p>
    <w:p>
      <w:r>
        <w:rPr>
          <w:b/>
        </w:rPr>
        <w:t>E. 3.6</w:t>
      </w:r>
    </w:p>
    <w:p>
      <w:r>
        <w:t>Le RDU s’applique à toutes les prestations sociales sous condition de ressources qui font l’objet de l’art. 13 LRDU (art. 2 al. 1 LRDU), au nombre desquelles figurent les bourses d’études (art. 13 al. 1 let. b ch. 6 LRDU). Le RDU est calculé de manière individuelle et s’applique aux personnes dès leur majorité (art. 8 al. 1 LRDU). L’art. 13 al. 1 LRDU prévoit que les prestations catégorielles et de comblement doivent être demandées dans l’ordre suivant : (a) les prestations catégorielles, dont 1° les subsides de l’assurance-maladie, puis (b) les prestations de comblement, dont 6° les bourses d’études. L’art. 8 al. 3 LRDU prévoit que lorsqu’une prestation catégorielle ou de comblement est octroyée en application de la hiérarchie des prestations sociales visée à l’art. 13, son montant s’ajoute au socle du revenu déterminant unifié selon l’al. 2 de l’art. 8 et le nouveau montant sert de base de calcul pour la prestation suivante. Les prestations accordées aux personnes mineures sont reportées dans le revenu déterminant unifié du ou des parents concernés.</w:t>
      </w:r>
    </w:p>
    <w:p>
      <w:r>
        <w:rPr>
          <w:b/>
        </w:rPr>
        <w:t>E. 4.1</w:t>
      </w:r>
    </w:p>
    <w:p>
      <w:r>
        <w:t>Le recours peut être formé : a) pour violation du droit y compris l’excès et l’abus du pouvoir d’appréciation ; b) pour constatation inexacte ou incomplète des faits pertinents (al. 1). Les juridictions administratives n’ont pas compétence pour apprécier l’opportunité de la décision attaquée, sauf exception prévue par la loi (al. 2 ; art. 61 LPA).</w:t>
      </w:r>
    </w:p>
    <w:p>
      <w:r>
        <w:rPr>
          <w:b/>
        </w:rPr>
        <w:t>E. 4.2</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MOOR/Alexandre FLÜCKIGER/Vincent MARTENET, Droit administratif, vol. I, 3ème éd., 2012, p. 743 ss et les références citées).</w:t>
      </w:r>
    </w:p>
    <w:p>
      <w:r>
        <w:rPr>
          <w:b/>
        </w:rPr>
        <w:t>E. 5</w:t>
      </w:r>
    </w:p>
    <w:p>
      <w:r>
        <w:t>En l’espèce, s’agissant des revenus pour l’année académique de septembre 2022 à août 2023, le SBPE a retenu pour le père de la recourante un revenu total de</w:t>
      </w:r>
    </w:p>
    <w:p>
      <w:r>
        <w:t>- 8/11 - A/371/2023 CHF 6’663.- et des prestations sociales (subsides de l’assurance-maladie) pour CHF 2'600.- + CHF 400.- de correctif, soit un RDU de CHF 9’663.-. Pour la mère de la recourante, il a retenu un revenu total de CHF 64’250.- et des prestations sociales (subsides de l’assurance-maladie) de CHF 2’600.- + CHF 400.- de correctif, soit un RDU de CHF 67’250.-. Le revenu annuel déterminant pour les parents atteint ainsi CHF 76’913.-. La recourante n’ayant pas réalisé de revenu, son RDU a été considéré comme égal à zéro. S’agissant des charges de la famille, chaque membre de celle-ci faisant ménage commun s’est vu attribuer le montant de base mensuel des normes d'insaisissabilité ainsi que celui de ses primes d’assurance-maladie au titre des charges individuelles (soit CHF 43’560.- au total). Le SBPE y a ajouté deux suppléments d’intégration de CHF 1'200.- pour personnes en formation secondaire II ou tertiaire, le loyer (CHF 22'440.-) et l’impôt cantonal (CHF 1’932.-). Les charges totalisent ainsi CHF 69'132.-. L’excédent de revenus, de CHF 7’781.- (soit CHF 76’913.- – CHF 69'132.-), a été divisé par le nombre d’enfants mineurs ou en formation (soit une, la recourante) pour obtenir la contribution déterminante des parents par enfant, de CHF 7’781.-. Pour la recourante, le SBPE a retenu un RDU de CHF 0.-. Au titre des charges, il a retenu CHF 0.- au titre de l’impôt cantonal, CHF 400.- au titre des frais de déplacement, CHF 3'200.- au titre des frais de repas liés à la formation et CHF 2'000.- au titre des frais de formation, soit un total des charges de CHF 5’600.-. Le découvert, soit la différence négative entre le RDU et les charges, est de CHF 5’600.- (CHF 0.- – CHF 5’600.-). Il est inférieur de CHF 2'181.- à la contribution parentale de CHF 7’781.-. Aucun des montants n’est contesté, mais la recourante relève que ses primes d’assurance-maladie ont augmenté. Elle perd cependant de vue que, selon l’art. 12 al. 3 RBPE, les primes d’assurance maladie sont prises en compte dans le cadre d’un forfait, basé sur les primes faisant référence à Genève selon la législation sur l’aide sociale. Pour le surplus, les frais dont le père de la recourante devrait s’acquitter en lien avec son état de santé physique, pour autant qu’ils doivent être pris en considération, ne sont pas démontrés. Le calcul opéré par le SBPE est donc conforme à la loi. Le grief sera écarté.</w:t>
      </w:r>
    </w:p>
    <w:p>
      <w:r>
        <w:t>- 9/11 - A/371/2023</w:t>
      </w:r>
    </w:p>
    <w:p>
      <w:r>
        <w:rPr>
          <w:b/>
        </w:rPr>
        <w:t>E. 6</w:t>
      </w:r>
    </w:p>
    <w:p>
      <w:r>
        <w:t>La recourante sollicite l’allocation d’une bourse pour « cas de rigueur ».</w:t>
      </w:r>
    </w:p>
    <w:p>
      <w:r>
        <w:rPr>
          <w:b/>
        </w:rPr>
        <w:t>E. 6.1</w:t>
      </w:r>
    </w:p>
    <w:p>
      <w:r>
        <w:t>Selon l’art. 23 LBPE, lors de l'octroi des bourses et des prêts d'études, il est tenu compte des particularités que comportent les filières d'études en matière d'organisation dans le temps ou de contenu (al. 1). La bourse peut être complétée par un prêt lorsqu'une formation fortement structurée rend plus difficile l'exercice d'une activité professionnelle en parallèle. Il en va de même lorsque les frais de formation dépassent largement les frais reconnus (al. 2). Des bourses pour des cas de rigueur peuvent être octroyées dans les limites des disponibilités budgétaires (al. 3). L’art. 16 RBPE, intitulé « cas de rigueur », prévoit l’allocation de bourses pour les personnes en formation qui, pour des raisons familiales, personnelles ou de santé, se trouveraient dans une situation de précarité (art. 16 RBPE). Il ressort des travaux préparatoires qu'il était nécessaire de prévoir un régime particulier pour les personnes en formation se trouvant dans des situations difficiles, notamment en raison du refus des parents de prendre en charge les frais de formation ou en cas de reprise d'une formation après des années consacrées à l'entretien de personnes à charge (MGC 2008-2009 XI/2, p. 14'941).</w:t>
      </w:r>
    </w:p>
    <w:p>
      <w:r>
        <w:rPr>
          <w:b/>
        </w:rPr>
        <w:t>E. 6.2</w:t>
      </w:r>
    </w:p>
    <w:p>
      <w:r>
        <w:t>En l’espèce, le SBPE a considéré que la recourante ne remplissait pas les conditions du cas de rigueur. L’excédent de ressources de la famille ne permet effectivement pas l’octroi d’une aide financière. La recourante, quand bien même elle soutient se trouver dans une situation financière délicate, ne se prévaut pas d'une des situations évoquées dans les travaux préparatoires, qui mentionnent la reprise d’une formation après des années consacrées à l'entretien de personnes à charge ou un refus des parents de prendre en charge les frais de formation (ATA/458/2021 du 27 avril 2021 consid. 4h ; ATA/610/2020 du 23 juin 2020 consid. 7d). C’est en conséquence sans violer le droit ni son large pouvoir d’appréciation que le SBPE a refusé l’octroi d’une bourse pour cas de rigueur. Entièrement mal fondé, le recours sera rejeté.</w:t>
      </w:r>
    </w:p>
    <w:p>
      <w:r>
        <w:rPr>
          <w:b/>
        </w:rPr>
        <w:t>E. 7</w:t>
      </w:r>
    </w:p>
    <w:p>
      <w:r>
        <w:t>Vu la nature du litige, aucun émolument ne sera perçu (art. 87 al. 1 LPA et 11 du règlement sur les frais, émoluments et indemnités en procédure administrative du 30 juillet 1986 ; RFPA - E 5 10.03) et il ne sera pas alloué d’indemnité de procédure (art. 87 al. 2 LPA).</w:t>
      </w:r>
    </w:p>
    <w:p>
      <w:r>
        <w:t>- 10/11 - A/371/2023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