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ATA/1053/2018 vom 9. Oktober 2018</w:t>
      </w:r>
    </w:p>
    <w:p>
      <w:r>
        <w:t>GE Cour de justice, 2018-10-09, FR</w:t>
      </w:r>
    </w:p>
    <w:p>
      <w:r>
        <w:rPr>
          <w:b/>
        </w:rPr>
        <w:t xml:space="preserve">Quelle: </w:t>
      </w:r>
      <w:r>
        <w:t>https://mcp.opencaselaw.ch/entscheid/ge_gerichte_ATA_1053_2018</w:t>
      </w:r>
    </w:p>
    <w:p>
      <w:r>
        <w:t>FR: GE_GERICHTE ATA/1053/2018 du 9 octobre 2018</w:t>
      </w:r>
    </w:p>
    <w:p>
      <w:r>
        <w:t>IT: GE_GERICHTE ATA/1053/2018 del 9 ottobre 2018</w:t>
      </w:r>
    </w:p>
    <w:p>
      <w:pPr>
        <w:pStyle w:val="Heading2"/>
      </w:pPr>
      <w:r>
        <w:t>Regeste</w:t>
      </w:r>
    </w:p>
    <w:p>
      <w:r>
        <w:t>Résumé: Recours déposé par une personne bénéficiant d'un traitement de substitution contre une circulaire du service du pharmacien cantonal informant certaines pharmacies de ce fait et les invitant en conséquence à ne plus honorer des ordonnances de Dormicum en sa faveur. Le recours est rejeté cette circulaire n'étant pas une décision.</w:t>
      </w:r>
    </w:p>
    <w:p>
      <w:pPr>
        <w:pStyle w:val="Heading2"/>
      </w:pPr>
      <w:r>
        <w:t>Erwägungen</w:t>
      </w:r>
    </w:p>
    <w:p>
      <w:r>
        <w:rPr>
          <w:b/>
        </w:rPr>
        <w:t>E. 1</w:t>
      </w:r>
    </w:p>
    <w:p>
      <w:r>
        <w:t>a. La chambre administrative est l’autorité supérieure ordinaire de recours en matière administrative (art. 132 al. 1 de la loi sur l’organisation judiciaire du 26 septembre 2010 - LOJ - E 2 05). Selon l’art. 132 al. 2 LOJ, le recours y est</w:t>
      </w:r>
    </w:p>
    <w:p>
      <w:r>
        <w:t>- 5/9 - A/1609/2018 ouvert contre les décisions des autorités et juridictions administratives au sens des art. 4, 4A, 5, 6 al. 1 let. a et e, ainsi que 57 de la loi sur la procédure administrative du 12 septembre 1985 (LPA - E 5 10). Sont réservées les exceptions prévues par la loi.</w:t>
      </w:r>
    </w:p>
    <w:p>
      <w:r>
        <w:t>b.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À teneur de l’art. 4 al. 2 LPA, les décisions incidentes sont également considérées comme des décisions.</w:t>
      </w:r>
    </w:p>
    <w:p>
      <w:r>
        <w:t>c. En droit genevois, la notion de décision est calquée sur le droit fédéral (art. 5 de la loi fédérale sur la procédure administrative du 20 décembre 1968 - PA - RS 172.021), ce qui est également valable pour les cas limites, soit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1C_593/2016 du 11 septembre 2017 consid. 2.2 ; 8C_220/2011 du 2 mars 2012 consid. 4.1.2 ; ATA/1502/2017 du 21 novembre 2017). En outre, ce n’est pas la forme de l’acte qui est déterminante, mais son contenu et ses effets (ATA/180/2018 du 27 février 2018 et les références citées).</w:t>
      </w:r>
    </w:p>
    <w:p>
      <w:r>
        <w:rPr>
          <w:b/>
        </w:rPr>
        <w:t>E. 2</w:t>
      </w:r>
    </w:p>
    <w:p>
      <w:r>
        <w:t>LStup).</w:t>
      </w:r>
    </w:p>
    <w:p>
      <w:r>
        <w:t>b. On entend par traitement avec prescription de stupéfiants ou de produits de substitution le remplacement, sur prescription médicale, d’un stupéfiant consommé sans autorisation par une préparation remise dans le cadre d’un traitement médical et psychosocial (art. 2 let. b de l’ordonnance relative à l’addiction aux stupéfiants et aux autres troubles liés à l’addiction du 25 mai 2011- OAStup - RS 812.121.6). Selon l’art. 9 OAStup, pour l’octroi d’une autorisation de suivre un traitement avec prescription de stupéfiants selon l’art. 3 al. 1 LStup, le canton doit exiger du médecin traitant des informations dont la liste figure aux let. a à h. Il s’agit notamment du nom, prénom et date de naissance du patient, du nom et du prénom du médecin traitant et de l’organisme de remise.</w:t>
      </w:r>
    </w:p>
    <w:p>
      <w:r>
        <w:t>c. L’ordonnance sur le contrôle des stupéfiants du 25 mai 2011 (OCStup - RS 812.121.1) régit l’autorisation et le contrôle des stupéfiants, des substances psychotropes, des précurseurs et des adjuvants chimiques définis à l’art. 2 LStup ainsi que les matières premières et les produits ayant un effet similaire à celui des substances et des préparations au sens de l’art. 7 LStup.</w:t>
      </w:r>
    </w:p>
    <w:p>
      <w:r>
        <w:t>Selon les art. 3 al. 1 et 2 let. a et b. OCStup, le DFI désigne les substances soumises à contrôle et détermine les mesures de contrôle auxquelles elles sont soumises. À cet effet, il établit des tableaux définis aux let. a à g, seules les lettres a et b étant pertinentes en l’espèce. Le tableau a) (let. a) désigne les substances soumises à contrôle soumises à toutes les mesures de contrôle. Le tableau b) (let. b) désigne les substances soumises à contrôle soustraites partiellement aux mesures de contrôle.</w:t>
      </w:r>
    </w:p>
    <w:p>
      <w:r>
        <w:t>L’art. 46 OCStup prévoit que les médecins ne peuvent prescrire des médicaments contenant des substances soumises à contrôle qu’aux patients qu’ils ont examinés eux-mêmes (al. 1). La prescription de substances soumises à contrôle figurant dans les tableaux a et d ne peut être effectuée qu’au moyen de l’ordonnance de stupéfiants prévue à cet effet (al. 2). La prescription de médicaments contenant des substances soumises à contrôle figurant dans les tableaux b et c peut être effectuée au moyen de formules d’ordonnances ordinaires (al. 3).</w:t>
      </w:r>
    </w:p>
    <w:p>
      <w:r>
        <w:t>- 7/9 - A/1609/2018</w:t>
      </w:r>
    </w:p>
    <w:p>
      <w:r>
        <w:t>Les tableaux mentionnés ci-dessus sont définis dans l’ordonnance du DFI sur les tableaux des stupéfiants, des substances psychotropes, des précurseurs et des adjuvants chimiques du 30 mai 2011 (OTStup-DFI - RS 812.121.11).</w:t>
      </w:r>
    </w:p>
    <w:p>
      <w:r>
        <w:t>d. Le département chargé de la santé (ci-après : département) met en œuvre la politique cantonale de la santé. À ce titre, il pourvoit à l’exécution des conventions internationales, du droit fédéral, des conventions intercantonales et de la législation cantonale dans le domaine de la santé (art. 6 al. 1 de la loi sur la santé du 7 avril 2006 - LS - K 1 03).</w:t>
      </w:r>
    </w:p>
    <w:p>
      <w:r>
        <w:t>Selon l’art. 1 al. 1 du règlement relatif à l’application de la loi fédérale sur les stupéfiants et les substances psychotropes du 27 juin 2007 (RaLStup - K 4 20.02), le département, soit pour lui le médecin cantonal et le pharmacien cantonal, est l'autorité chargée d'appliquer la loi. Tout médecin désirant prescrire des traitements de stupéfiants aux personnes dépendantes doit obtenir une autorisation spéciale du médecin cantonal (art. 14 al. 1 RaLStup). Tout médecin doit annoncer, dans un délai de cinq jours ouvrables, au médecin cantonal les traitements qu'il initie, modifie ou clôt, au moyen d'un formulaire d'annonce électronique. Ce formulaire doit mentionner le médecin, son remplaçant, la pharmacie en principe sise dans le canton qui délivre le stupéfiant, ainsi que le patient. Le formulaire doit être imprimé et cosigné par le médecin et le patient. Le médecin conserve le formulaire dans le dossier du patient. Le médecin remplaçant et la pharmacie acceptent le traitement en le validant électroniquement (art. 15 al. 1 RaLStup). Le médecin cantonal tient un registre des traitements (art. 18 al. 1 RaLStup).</w:t>
      </w:r>
    </w:p>
    <w:p>
      <w:r>
        <w:rPr>
          <w:b/>
        </w:rPr>
        <w:t>E. 3</w:t>
      </w:r>
    </w:p>
    <w:p>
      <w:r>
        <w:t>Dans le cas d’espèce, la recourante fait l’objet d’un traitement de substitution, ce qu’elle ne conteste pas. Il ressort du dossier que, comme le prévoient les art. 9 OAStup et 15 al. 1 RaLStup, ce traitement de substitution a été annoncé par le médecin traitant, puis autorisé. Il contient, selon le CTA, de la morphine et de l’oxazépam, la morphine figurant sur le tableau a) de l’OTStup-DFI et l’oxazépam sur le tableau b).</w:t>
      </w:r>
    </w:p>
    <w:p>
      <w:r>
        <w:t>Le traitement de substitution autorisé ne contient donc pas de Dormicum, médicament dont le principe actif, le midazolam, figure sur le tableau b) de l’OTStup-DFI. À l’instar de l’oxazépam, il s’agit d’une benzodiazépine, à savoir une substance psychotrope à laquelle s’appliquent les dispositions relatives aux stupéfiants selon l’art. 2b LStup. Du fait de son traitement de substitution, l’accès à ce médicament imposait d’être annoncé, puis autorisé, ce qui n’a pas été le cas en l’espèce.</w:t>
      </w:r>
    </w:p>
    <w:p>
      <w:r>
        <w:t>La circulaire ne fait que rappeler cet état de fait. Elle ne déploie aucun effet juridique et ne modifie en rien la situation de la recourante vis-à-vis du traitement de substitution qu’elle est autorisée à suivre. D’ailleurs, même si le recours était</w:t>
      </w:r>
    </w:p>
    <w:p>
      <w:r>
        <w:t>- 8/9 - A/1609/2018 admis et que la directive était annulée, cela ne changerait rien au fait que le traitement annoncé et autorisé ne contient pas de Dormicum.</w:t>
      </w:r>
    </w:p>
    <w:p>
      <w:r>
        <w:t>Force est ainsi de constater que la circulaire n’est pas une décision. Le recours du 11 mai 2018 sera en conséquence déclaré irrecevable.</w:t>
      </w:r>
    </w:p>
    <w:p>
      <w:r>
        <w:rPr>
          <w:b/>
        </w:rPr>
        <w:t>E. 4</w:t>
      </w:r>
    </w:p>
    <w:p>
      <w:r>
        <w:t>Enfin, l’attention du département sera attirée sur le fait que, comme cela ressort de l’écriture du pharmacien cantonal du 28 mai 2018, il serait contraire aux règles de bonnes pratiques de stopper brutalement la prise de Dormicum.</w:t>
      </w:r>
    </w:p>
    <w:p>
      <w:r>
        <w:rPr>
          <w:b/>
        </w:rPr>
        <w:t>E. 5</w:t>
      </w:r>
    </w:p>
    <w:p>
      <w:r>
        <w:t>La recourante plaidant au bénéfice de l’assistance juridique, il ne sera pas perçu d’émolument (art. 87 al. 1 LPA et 11 du règlement sur les frais, émoluments et indemnités en procédure administrative du 30 juillet 1986 - RFPA - E 5 10.03). Compte tenu de l’issue du litige, il n’y a pas lieu à l’allocation d’une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