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ATA/1053/2016 vom 14. Dezember 2016</w:t>
      </w:r>
    </w:p>
    <w:p>
      <w:r>
        <w:t>GE Cour de justice, 2016-12-14, FR</w:t>
      </w:r>
    </w:p>
    <w:p>
      <w:r>
        <w:rPr>
          <w:b/>
        </w:rPr>
        <w:t xml:space="preserve">Quelle: </w:t>
      </w:r>
      <w:r>
        <w:t>https://mcp.opencaselaw.ch/entscheid/ge_gerichte_ATA_1053_2016</w:t>
      </w:r>
    </w:p>
    <w:p>
      <w:r>
        <w:t>FR: GE_GERICHTE ATA/1053/2016 du 14 décembre 2016</w:t>
      </w:r>
    </w:p>
    <w:p>
      <w:r>
        <w:t>IT: GE_GERICHTE ATA/1053/2016 del 14 dicembre 2016</w:t>
      </w:r>
    </w:p>
    <w:p>
      <w:pPr>
        <w:pStyle w:val="Heading2"/>
      </w:pPr>
      <w:r>
        <w:t>Erwägungen</w:t>
      </w:r>
    </w:p>
    <w:p>
      <w:r>
        <w:rPr>
          <w:b/>
        </w:rPr>
        <w:t>E. 1</w:t>
      </w:r>
    </w:p>
    <w:p>
      <w:r>
        <w:t>Interjeté le lundi 5 décembre 2016 contre le jugement du TAPI prononcé et communiqué aux parties le 24 novembre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6 décembre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Selon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w:t>
      </w:r>
    </w:p>
    <w:p>
      <w:r>
        <w:t>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w:t>
      </w:r>
    </w:p>
    <w:p>
      <w:r>
        <w:t>- 6/8 - A/3985/2016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w:t>
      </w:r>
    </w:p>
    <w:p>
      <w:r>
        <w:rPr>
          <w:b/>
        </w:rPr>
        <w:t>E. 6</w:t>
      </w:r>
    </w:p>
    <w:p>
      <w:r>
        <w:t>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Selon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le renvoi de ressortissants algériens par vol spécial n’est pas possible (art. 4 al. 3 et 4).</w:t>
      </w:r>
    </w:p>
    <w:p>
      <w:r>
        <w:rPr>
          <w:b/>
        </w:rPr>
        <w:t>E. 8</w:t>
      </w:r>
    </w:p>
    <w:p>
      <w:r>
        <w:t>En l'espèce, le recourant a fait l'objet d'une décision de renvoi le 26 juin 2014. Il n'a pas obtempéré à l'injonction de quitter la Suisse dans le délai prescrit. Les autorités helvétiques ont, par deux fois, organisé des vols à destination d’Alger, les 13 août 2015 et 21 novembre 2016, auxquels l’intéressé s’est opposé physiquement. Compte tenu de l’impossibilité d’effectuer un vol spécial pour Alger, l'exécution de la décision de renvoi entrée en force ne peut être assurée qu’avec la coopération de l'étranger, malgré les efforts des autorités suisses. La décision exécutoire de renvoi du recourant ne peut en conséquence pas être exécutée en raison du comportement de celui-ci.</w:t>
      </w:r>
    </w:p>
    <w:p>
      <w:r>
        <w:t>Le recourant ayant été placé en détention administrative le 31 octobre 2016 et se trouvant en détention pour insoumission depuis le 22 novembre 2016, la détention pour insoumission prononcée respecte la durée admissible en vertu de l’art. 79 LEtr, et remplit par conséquent les conditions matérielles de l’art. 78 al. 1 LEtr.</w:t>
      </w:r>
    </w:p>
    <w:p>
      <w:r>
        <w:rPr>
          <w:b/>
        </w:rPr>
        <w:t>E. 9</w:t>
      </w:r>
    </w:p>
    <w:p>
      <w:r>
        <w:t>Le recourant allègue que sa détention viole le principe de la proportionnalité.</w:t>
      </w:r>
    </w:p>
    <w:p>
      <w:r>
        <w:t>- 7/8 - A/3985/2016</w:t>
      </w:r>
    </w:p>
    <w:p>
      <w:r>
        <w:t>Le recourant se plaint notamment d’être empêché d’entreprendre des démarches en vue d’organiser son départ. Toutefois, en l’absence de toute indication sur lesdites démarches et les obstacles rencontrés, cet argument sera écarté. Le recourant n’étant pas en possession de papiers d’identité nationaux et surtout n’étant au bénéfice d’aucune autorisation de résider dans un pays tiers, seul un renvoi vers l’Algérie est possible. Contrairement à ce que soutient le recourant, aucun moyen moins incisif ne permet d’atteindre le but visé, à savoir le respect par l’intéressé de la décision de renvoi et son départ effectif du territoire, celui-ci ayant, à de multiples reprises, affirmé sa volonté de ne pas partir. À ce titre, l’intérêt public au respect de la législation et des décisions de justice prime l’intérêt du recourant à pouvoir conserver sa liberté de mouvement.</w:t>
      </w:r>
    </w:p>
    <w:p>
      <w:r>
        <w:t>Le maintien en détention administrative est dès lors conforme au principe de proportionnalité.</w:t>
      </w:r>
    </w:p>
    <w:p>
      <w:r>
        <w:rPr>
          <w:b/>
        </w:rPr>
        <w:t>E. 10</w:t>
      </w:r>
    </w:p>
    <w:p>
      <w:r>
        <w:t>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