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ATA/1047/2022 vom 18. Oktober 2022</w:t>
      </w:r>
    </w:p>
    <w:p>
      <w:r>
        <w:t>GE Cour de justice, 2022-10-18, FR</w:t>
      </w:r>
    </w:p>
    <w:p>
      <w:r>
        <w:rPr>
          <w:b/>
        </w:rPr>
        <w:t xml:space="preserve">Quelle: </w:t>
      </w:r>
      <w:r>
        <w:t>https://mcp.opencaselaw.ch/entscheid/ge_gerichte_ATA_1047_2022</w:t>
      </w:r>
    </w:p>
    <w:p>
      <w:r>
        <w:t>FR: GE_GERICHTE ATA/1047/2022 du 18 octobre 2022</w:t>
      </w:r>
    </w:p>
    <w:p>
      <w:r>
        <w:t>IT: GE_GERICHTE ATA/1047/2022 del 18 ottobre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2)</w:t>
      </w:r>
    </w:p>
    <w:p>
      <w:r>
        <w:t>Préalablement, le recourant sollicite l'apport du dossier intégral par le Conseil d’État, une audience de comparution personnelle et l’ouverture d’enquêtes.</w:t>
      </w:r>
    </w:p>
    <w:p>
      <w:r>
        <w:t>- 7/19 - A/1591/2022</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suppose que le fait à prouver soit pertinent, que le moyen de preuve proposé soit nécessaire pour constater ce fait et que la demande soit présentée selon les formes et délais prescrits par le droit cantonal (ATF 119 Ib 492 consid. 5b/bb).</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w:t>
      </w:r>
    </w:p>
    <w:p>
      <w:r>
        <w:t>b. En l’espèce, le recourant sollicite son audition afin qu’il puisse attester du temps réellement nécessaire pour revêtir son uniforme. Cela étant, il a déjà affirmé qu’il correspondait à quinze minutes. On ne voit dès lors pas ce que son audition pourrait apporter de plus à la résolution du litige, étant précisé que cet élément n’est de toute façon pas déterminant pour les motifs qui seront exposés aux considérants ci-dessous.</w:t>
      </w:r>
    </w:p>
    <w:p>
      <w:r>
        <w:t>L’intimé a produit un chargé contenant plusieurs pièces. Son dossier paraît complet, ce que le recourant ne remet pas en cause. Ce dernier ne sollicite au demeurant pas la production d’un document particulier en sus ni son utilité pour la résolution du litige.</w:t>
      </w:r>
    </w:p>
    <w:p>
      <w:r>
        <w:t>Pour le surplus, la chambre de céans dispose d'un dossier complet lui permettant de trancher le litige en toute connaissance de cause, sans procéder à d’autres actes d’instruction. 3)</w:t>
      </w:r>
    </w:p>
    <w:p>
      <w:r>
        <w:t>Le recourant se plaint d’un déni de justice au motif que l’autorité intimée aurait limité son pouvoir de cognition et son examen de la demande qui lui était soumise à l’arbitraire. Ce grief doit être examiné en premier lieu dès lors qu'il est de nature à entraîner l'annulation de la décision attaquée indépendamment des chances de succès du recours au fond (ATF 141 V 557 consid. 3 et arrêt du Tribunal fédéral 2D_54/2014 du 23 janvier 2015 consid. 4 ; ATA/399/2022 du 12 avril 2022 consid. 4).</w:t>
      </w:r>
    </w:p>
    <w:p>
      <w:r>
        <w:t>- 8/19 - A/1591/2022</w:t>
      </w:r>
    </w:p>
    <w:p>
      <w:r>
        <w:t>a. Selon la jurisprudence, l'autorité qui ne traite pas un grief relevant de sa compétence, motivé de façon suffisante et pertinent pour l'issue du litige, commet un déni de justice formel proscrit par l'art. 29 de la Constitution fédérale de la Confédération suisse du 18 avril 1999 (Cst. - RS 101 ; ATF 136 I 6 consid. 2.1 ; 117 Ia 116 consid. 3a et les références citées). Il en va de même lorsqu'elle restreint sa cognition à l'arbitraire alors même qu'elle dispose d'un plein pouvoir d'examen (arrêt du Tribunal fédéral 1A.25/2006 du 13 mars 2007 consid. 4.1). S'agissant d'une autorité judiciaire, le déni de justice, tel qu'il vient d'être décrit, peut constituer une violation de la garantie de l'accès au juge ancrée à l'art. 29a Cst. Cette disposition donne en effet le droit d'accès à une autorité judiciaire exerçant un pouvoir d'examen complet sur les faits et du droit (ATF 137 I 235 consid. 2.5 et consid. 2.5.2).</w:t>
      </w:r>
    </w:p>
    <w:p>
      <w:r>
        <w:t>Tel qu'il est garanti par l'art. 29 al. 2 Cst.,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(arrêt du Tribunal fédéral 9C_701/2018 du 27 novembre 2018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t>b. En l’espèce, le recourant reproche à l’autorité intimée de s’être exclusivement fondée sur le raisonnement du Tribunal fédéral dans l’arrêt 8C_514/2020 précité pour considérer que seul le droit cantonal s’appliquait et rejeter sa demande, alors même que le Tribunal fédéral avait limité son examen à l’arbitraire, ce qui ne saurait être la limite du pouvoir d’examen du Conseil d’État.</w:t>
      </w:r>
    </w:p>
    <w:p>
      <w:r>
        <w:t>Le recourant ne saurait toutefois être suivi. En effet, le Conseil d’État a d’abord relevé, dans la décision litigieuse, que les rapports de travail du personnel de l’administration cantonale étaient soumis au droit public cantonal uniquement et non aux dispositions relevant du droit privé. Pour ce faire, il s’est appuyé sur la doctrine, se référant à titre exemplatif à l’arrêt du Tribunal fédéral précité, lequel examinait l’application des dispositions légales de la LTr et de l’OLT 1 aux administrations cantonales.</w:t>
      </w:r>
    </w:p>
    <w:p>
      <w:r>
        <w:t>Après avoir passé en revue plusieurs dispositions légales et règlementaires cantonales applicables au personnel pénitentiaire, il a constaté qu’il n’était pas prévu que le temps consacré au changement de tenue donne droit à une</w:t>
      </w:r>
    </w:p>
    <w:p>
      <w:r>
        <w:t>- 9/19 - A/1591/2022 indemnisation ou une compensation. Il est ainsi arrivé à la conclusion – à tort ou à raison – que le personnel pénitentiaire en uniforme était tenu d’entrer en service après s’être équipé de l’uniforme propre à la fonction, sans que le temps y consacré ne soit comptabilisé dans le temps de travail ni ne fasse l’objet d’une indemnisation spécifique en complément du traitement. Le Conseil d’État a ensuite relevé, sur la base de l’arrêt précité, que le Tribunal fédéral avait d’ailleurs jugé qu’une telle solution n’était pas arbitraire.</w:t>
      </w:r>
    </w:p>
    <w:p>
      <w:r>
        <w:t>Le Conseil d’État a enfin relevé, pour le surplus, que la durée indispensable pour le changement de tenue avait été évalué de manière excessive.</w:t>
      </w:r>
    </w:p>
    <w:p>
      <w:r>
        <w:t>C’est donc à tort que le recourant prétend que l’autorité intimée aurait limité son examen à l’arbitraire, de sorte que ce grief sera écarté. 4)</w:t>
      </w:r>
    </w:p>
    <w:p>
      <w:r>
        <w:t>La LTr s'applique, sous réserve de ses art. 2 à 4, à toutes les entreprises publiques et privées (art. 1 al. 1 LTr). Il y a entreprise selon la loi lorsqu'un employeur occupe un ou plusieurs travailleurs de façon durable ou temporaire, même sans faire usage d'installations ou de locaux particuliers (art. 1 al. 2 1ère phr. LTr).</w:t>
      </w:r>
    </w:p>
    <w:p>
      <w:r>
        <w:t>Sous le titre marginal « exception quant aux entreprises », l'art. 2 al. 1 LTr dispose que la loi ne s'applique pas, sous réserve de son art. 3a, notamment aux administrations fédérales, cantonales et communales, sous réserve de l'art. 2 al. 2 LTr (let. a).</w:t>
      </w:r>
    </w:p>
    <w:p>
      <w:r>
        <w:t>Autrement dit, seules les dispositions visées par l'art. 3a LTr s'appliquent aux administrations fédérales, cantonales et communales (arrêt du Tribunal fédéral C_789/2020 du 4 novembre 2021 consid. 4.3.1).</w:t>
      </w:r>
    </w:p>
    <w:p>
      <w:r>
        <w:t>L'art. 3a let. a LTr est une contre-exception du champ d'application, lequel prévoit que les dispositions de la loi relatives à la protection de la santé (art. 6, 35 et 36a) s'appliquent aussi à l'administration fédérale ainsi qu'aux administrations cantonales et communales (arrêt du Tribunal fédéral 8C_789/2020 précité consid. 4.3.2 ; Stéfanie MEIER-GUBSER, Aspects méconnus de la LTr : champ d'application, protection de la santé, durées du travail et du repos, in L'expert fiduciaire: revue professionnelle et organe officiel de publication de l'Union suisse des fiduciaire TREX 2019/1/37 ss, spéc. p. 38-39).</w:t>
      </w:r>
    </w:p>
    <w:p>
      <w:r>
        <w:t>L'énumération des dispositions applicables selon l'art. 3a LTr est exhaustive. À côté des art. 6, 35 et 36a LTr qui y sont expressément mentionnés, elle ne comprend pas d'autres dispositions protectrices, y compris celles dont l'objet peut également avoir une influence sur la santé des travailleurs ; en particulier, les dispositions sur la durée du travail, l'aménagement des horaires et le repos (art. 9 à 28 LTr) ne sont pas comprises dans la contre-exception faite en faveur de la</w:t>
      </w:r>
    </w:p>
    <w:p>
      <w:r>
        <w:t>- 10/19 - A/1591/2022 protection de la santé des travailleurs (arrêt 8C_789/2020 précité consid. 4.3.2 ; Stéphanie MEIER-GUBSER, op. cit., TREX 2019/1/37 ss, spéc. p. 40). 5) a. En tant qu’agent de détention, le recourant était soumis à l’ancienne loi sur l’organisation et le personnel de la prison du 21 juin 1984 (aLOPP - F 1 50) et à son règlement d’application du 30 septembre 1985 (aROPP - F 1 50.01). Depuis le 1er mars 2017, il est soumis à la loi l’organisation des établissements et le statut du personnel pénitentiaire du 3 novembre 2016 (LOPP - F 1 50), qui a abrogé l’aLOPP (art. 34 LOPP), et au règlement sur l’organisation des établissements et le statut du personnel pénitentiaire du 22 février 2017 (ROPP - F 1 50.01), lequel a abrogé l’aROPP (art. 65 let. a ROPP). Depuis le 1er octobre 2012, il est également soumis au règlement fixant les indemnités pour la direction et le personnel de surveillance des établissements de détention du 31 octobre 2012 (RIED - F 1 50.09).</w:t>
      </w:r>
    </w:p>
    <w:p>
      <w:r>
        <w:t>b. Selon l’art. 6 LOPP, le personnel de la police est soumis à la loi générale relative au personnel de l’administration cantonale, du pouvoir judiciaire et des établissements publics médicaux du 4 décembre 1997 (LPAC - B 5 05), et à ses dispositions d’application, sous réserve des dispositions particulières de la LOPP (al. 1). Il est de même soumis à la loi concernant le traitement et les diverses prestations alloués aux membres du personnel de l'État, du pouvoir judiciaire et des établissements hospitaliers du 21 décembre 1973 (LTrait - B 5 15) et à ses dispositions d’application (al. 2).</w:t>
      </w:r>
    </w:p>
    <w:p>
      <w:r>
        <w:t>Des droits particuliers sont notamment prévus aux art. 15 et 16 LOPP, et l’art. 29 LOPP prévoit que le Conseil d'État détermine par règlement la nature et le montant des indemnités et compensations auxquelles ont droit les membres du personnel pénitentiaire.</w:t>
      </w:r>
    </w:p>
    <w:p>
      <w:r>
        <w:t>L’art. 30 ROPP charge l’autorité compétente de fixer l’horaire de travail et le type d’horaires pour chaque membre du personnel pénitentiaire en fonction des nécessités de l'activité (al. 1). Cet horaire est réputé horaire réglementaire (al. 2). Tout horaire de travail et type d’horaire peut être modifié par l’autorité compétente afin de répondre aux nécessités de l’activité (al. 3). Pour le personnel pénitentiaire soumis à l’horaire irrégulier, la direction générale fixe par voie de directive les conditions dans lesquelles les horaires sont définis et sont modifiables (art. 56 al. 2 ROPP). Pour le personnel pénitentiaire non soumis à l’horaire irrégulier, l’art. 8A du règlement d’application de la loi générale relative au personnel de l’administration cantonale, du pouvoir judiciaire et des établissements publics médicaux du 24 février 1999 (RPAC - B 5 05.01) s’applique (art. 56A ROPP).</w:t>
      </w:r>
    </w:p>
    <w:p>
      <w:r>
        <w:t>Les art. 50 à 55 ROPP, prenant place dans le chapitre intitulé « droits et devoirs spécifiques du personnel pénitentiaire », traitent des différents indemnités, compensations ou débours auxquels le personnel pénitentiaire peut prétendre.</w:t>
      </w:r>
    </w:p>
    <w:p>
      <w:r>
        <w:t>- 11/19 - A/1591/2022 Sous le titre « heures supplémentaires et service de piquet », les art. 56 à 59 ROPP traitent entre autres de la compensation des heures supplémentaires.</w:t>
      </w:r>
    </w:p>
    <w:p>
      <w:r>
        <w:t>c. Le RIED s'applique à la direction et au personnel de surveillance des établissements de détention (art. 1). Il prévoit des indemnités pour risques inhérents à la fonction (art. 2) et pour service de nuit et travaux spéciaux (art. 3).</w:t>
      </w:r>
    </w:p>
    <w:p>
      <w:r>
        <w:t>d. Sous la note marginale « habillement », l’art. 31 LOPP prévoit que les agents de détention sont armés et équipés aux frais de l’État (al. 1). Sauf dispositions contraires, les agents de détention portent l’uniforme (al. 2).</w:t>
      </w:r>
    </w:p>
    <w:p>
      <w:r>
        <w:t>Sous la note marginale « tenues vestimentaires et accessoires du personnel pénitentiaire », l’art. 6 ROPP prévoit que la direction générale définit une pratique transversale en matière de gestion et de commande des tenues vestimentaires et accessoires (al. 1). Dans ce cadre, les établissements évaluent leurs besoins en tenues vestimentaires et accessoires, sur la base des effectifs en personnel et des besoins de celui-ci (al. 2). La direction générale règle par directive le port de l’uniforme dans les établissements (al. 3).</w:t>
      </w:r>
    </w:p>
    <w:p>
      <w:r>
        <w:t>L’art. 50 ROPP prévoit en outre que les cas dans lesquels les agents de détention ne doivent pas porter l’uniforme dans le cadre de l’accomplissement de leur travail sont définis par la direction de l’établissement, en fonction des besoins du service et dans le respect de la directive prévue à l’art. 6 al. 3.</w:t>
      </w:r>
    </w:p>
    <w:p>
      <w:r>
        <w:t>e. La directive n° 5.2 concernant « l’habillement et la gestion des uniformes des agents de détention », entrée en vigueur le 1er octobre 2017, a pour objectif de régler la tenue portée par le personnel uniformé de l’office cantonal de la détention (ci-après : OCD), l’organisation, la dotation et le renouvellement des diverses pièces d’uniforme pour l’ensemble des agents de l’OCD.</w:t>
      </w:r>
    </w:p>
    <w:p>
      <w:r>
        <w:t>À propos du port de l’uniforme, elle prévoit que l’uniforme ou une tenue civile peuvent être portés indifféremment entre le domicile et le lieu de travail (art. 3.1.c.a) et que dans tous les cas, le personnel porte son uniforme dès sa prise de service et jusqu’à la fin de celui-ci (art. 3.1.c.b), des exceptions étant prévues en cas de conduite accompagnée (art. 3.1.c.c). Le personnel doit exécuter son service vêtu de la tenue prescrite (art. 3.1.c.d).</w:t>
      </w:r>
    </w:p>
    <w:p>
      <w:r>
        <w:t>L'équipement des agents de détention est fourni par l'État (art. 3.2 à 3.4). Il comprend l'équipement collectif et l'équipement personnel (armement, matériel et tenues d'uniforme).</w:t>
      </w:r>
    </w:p>
    <w:p>
      <w:r>
        <w:t>La tenue de service chaude comprend, outre les vêtements proprement dits, une ceinture de charge, un gilet multi-poches, des gants de protection et des gants chauds (art. 3.7.1). La tenue de service allégée comprend une ceinture de charge et des gants de protection (art. 3.7.b). La tenue spéciale des gardes GSCD et des</w:t>
      </w:r>
    </w:p>
    <w:p>
      <w:r>
        <w:t>- 12/19 - A/1591/2022 gardes armés comprend en outre un étui à menottes, un pistolet dans son étui et un spray au poivre dans son étui (art. 3.8). 6) a. Le principe de la légalité, consacré à l'art. 5 al. 1 Cst., exige que les autorités n'agissent que dans le cadre fixé par la loi.</w:t>
      </w:r>
    </w:p>
    <w:p>
      <w:r>
        <w:t>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(ATA/317/2020 du 31 mars 2020 consid. 2d ; Thierry TANQUEREL, Manuel de droit administratif, 2ème éd.,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(ATA/317/2020 précité consid. 2d ; Thierry TANQUEREL, op. cit., n. 441). 7)</w:t>
      </w:r>
    </w:p>
    <w:p>
      <w:r>
        <w:t>À titre préalable, il sera relevé que le recourant indique qu’il est soumis à des horaires continus, sans pause, de sorte que l’hypothèse d’un changement de tenue quatre fois par jour ne le concerne pas et ne sera donc pas examinée.</w:t>
      </w:r>
    </w:p>
    <w:p>
      <w:r>
        <w:t>- 13/19 - A/1591/2022</w:t>
      </w:r>
    </w:p>
    <w:p>
      <w:r>
        <w:t>En l’espèce, les parties s’accordent sur le fait qu’il n’existe aucune base légale ou règlementaire cantonale prévoyant expressément que le temps consacré au changement de tenue du personnel pénitentiaire soumis au port d’un uniforme serait comptabilisé comme temps de travail et/ou donnerait droit à une indemnité.</w:t>
      </w:r>
    </w:p>
    <w:p>
      <w:r>
        <w:t>L’autorité intimée en conclut que la demande du recourant devrait dès lors être rejetée. Ce dernier considère au contraire que dès lors qu’aucune disposition ne l’exclut non plus, il conviendrait de se livrer à une interprétation de la législation topique, au moyen des règles dégagées par la jurisprudence fédérale, et notamment grâce au droit privé qui aurait un régime équivalant. Toutefois, aucun élément ne permet de constater qu’un régime similaire au droit privé devrait être appliqué en l’espèce.</w:t>
      </w:r>
    </w:p>
    <w:p>
      <w:r>
        <w:t>En particulier, le fait que la directive DS COPP.01 intitulée « directive générale sur le temps de travail », entrée en vigueur le 30 mars 2015 et mise à jour le 14 novembre 2018, réglemente des éléments de la même manière que dans la LTr et en particulier dans l’art. 18 OLT 1, ne saurait signifier, comme semble le considérer le recourant, que le régime du droit privé devrait s’appliquer à la problématique du cas d’espèce. C’est également à tort que le recourant prétend que le régime instauré par directive n° 5.2 concernant « l’habillement et la gestion des uniformes des agents de détention », qui prévoit le port de l’uniforme obligatoire dès la prise de service, rejoindrait précisant celui prévalant en droit privé. Le recourant tente par ces allégations, à tort, de fonder un rattachement avec la LTr et plus particulièrement l’art. 13 OLT 1 alors même que cette législation n’est pas applicable, sous réserve des art. 6, 35 et 36a LTr au personnel des administrations publiques et donc du personnel de la police.</w:t>
      </w:r>
    </w:p>
    <w:p>
      <w:r>
        <w:t>En outre, il ne saurait être tiré de l’art. 31 al. 1 LOPP, qui prévoit que les agents de détention sont armés et équipés aux frais de l’État, qu’une rémunération devrait leur être allouée pour le temps passé à revêtir et dévêtir leur uniforme. Le fait que l’art. 56 ROPP prévoie la rémunération des heures supplémentaires, ne permet pas non plus d’arriver à ce constat.</w:t>
      </w:r>
    </w:p>
    <w:p>
      <w:r>
        <w:t>Même à admettre l’application de la LTr et en particulier de l’art. 13 OLT 1 cité par le recourant, la conclusion ne serait pas différente.</w:t>
      </w:r>
    </w:p>
    <w:p>
      <w:r>
        <w:t>Pour rappel, selon l’art. 13 al. 1 OLT 1, est réputé durée du travail au sens de la loi le temps pendant lequel le travailleur doit se tenir à la disposition de l’employeur ; le temps qu’il consacre au trajet pour se rendre sur son lieu de travail et en revenir n’est pas réputé durée du travail. Le commentaire du SECO de l’OLT 1 de décembre 2020 [ci-après : Commentaire OLT] précise que toutes les activités et mesures qui doivent être effectuées ou prises, par exemple pour des raisons de sécurité ou d’hygiène au travail, avant que l’acte de travail à proprement dit puisse débuter, comptent comme temps de travail. L’habillage et le</w:t>
      </w:r>
    </w:p>
    <w:p>
      <w:r>
        <w:t>- 14/19 - A/1591/2022 changement de vêtements nécessaires au processus de travail en font partie : enfilage d’un équipement de protection dans un but de protection de la santé et contre les accidents, enfilage d’une tenue de travail par-dessus les vêtements de ville ou d’une tenue de travail stérile ou encore passage dans un sas pour des raisons d’hygiène (ad. art. 13 OLT 1, p. 113 - 1). Ledit commentaire précise encore qu’est considéré comme temps de travail le temps pendant lequel le travailleur se tient à la disposition de l’employeur, indistinctement de l’endroit où il se trouve : qu’il s’agisse de l’entreprise, d’un train ou de tout autre endroit, le lieu en soi n’est pas pris en considération (ad. art. 13 OLT 1, p. 113 - 1).</w:t>
      </w:r>
    </w:p>
    <w:p>
      <w:r>
        <w:t>À teneur dudit commentaire, pour être considéré comme temps de travail, il faut que des mesures soient nécessairement prises pour des raisons de sécurité, d'hygiène ou de santé « au travail ». Cela implique que la mesure doive obligatoirement être entreprise sur un lieu de travail et non au domicile. En effet, si le travailleur est libre de vêtir ou de dévêtir son uniforme à son domicile, on ne saurait admettre qu’il soit dans une situation dans laquelle il se tient « à la disposition de l’employeur ». Admettre le contraire reviendrait à devoir considérer que toute personne qui s’apprête d’une certaine manière avant de se rendre à son travail se tient à disposition de son employeur et doit être rémunérée pour cela.</w:t>
      </w:r>
    </w:p>
    <w:p>
      <w:r>
        <w:t>En l’occurrence, aucune disposition légale ou règlementaire ni aucune directive n’interdit au personnel pénitentiaire soumis au port de l’uniforme de se rendre sur son lieu de travail vêtu de celui-ci. Au contraire, l’art. 3.1.c.a directive n° 5.2 concernant « l’habillement et la gestion des uniformes des agents de détention » prévoit expressément que l’uniforme peut être portés entre le domicile et le lieu de travail. Il va en revanche de soi que lorsque le membre du personnel pénitentiaire doit changer de tenue sur son lieu de travail, par exemple dans le cadre d’une mission déterminée, il s’agit de temps de travail comptabilisé comme tel. Il n’est par ailleurs pas contesté que l’arme de service fait partie des outils de travail de certains membres du personnel pénitentiaire. Cela étant, les obligations relatives sont les mêmes pour le personnel de police en civil, de sorte qu’il n’y a pas de lien direct avec le port de l’uniforme, et donc avec l’indemnisation que le recourant souhaite obtenir à ce titre.</w:t>
      </w:r>
    </w:p>
    <w:p>
      <w:r>
        <w:t>Dans ces conditions, il n’est nul besoin d’instruire ni de discuter la question du temps consacré par le recourant à revêtir, respectivement dévêtir, son uniforme. 8)</w:t>
      </w:r>
    </w:p>
    <w:p>
      <w:r>
        <w:t>Le recourant considère que la décision litigieuse consacrerait une inégalité de traitement avec les autres collaborateurs soumis à des rapports de droit public, tels que les soignants de l’IMAD, qui ont droit à l’indemnisation de leur temps d’habillage, ou encore les agents de détention non tenus au port de l’uniforme. La situation serait à l’inverse traitée de manière identique entre les quatre</w:t>
      </w:r>
    </w:p>
    <w:p>
      <w:r>
        <w:t>- 15/19 - A/1591/2022 collaborateurs ayant sollicité une décision sur cette question, alors que leur situation concrète ne serait pas la même.</w:t>
      </w:r>
    </w:p>
    <w:p>
      <w:r>
        <w:t>a.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w:t>
      </w:r>
    </w:p>
    <w:p>
      <w:r>
        <w:t>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La question de savoir si une distinction juridique repose sur un motif raisonnable peut recevoir une réponse différente selon les époques et suivant les conceptions, idéologies et situations du moment (ATF 129 I 161 consid. 3.2 ; 125 II 385 consid. 5b ; ATA/422/2021 du 20 avril 2021 consid. 5d). L'inégalité de traitement apparaît comme une forme particulière d'arbitraire, consistant à traiter de manière inégale ce qui devrait l'être de manière semblable ou inversement (ATF 142 I 195 consid. 6.1 ; 137 I 167 consid. 3.5 ; 129 I 346 consid. 6 ; ATA/1146/2019 du 19 juillet 2019 consid. 5a).</w:t>
      </w:r>
    </w:p>
    <w:p>
      <w:r>
        <w:t>b. En l’espèce, contrairement à ce que relève le recourant, sa situation n’est pas similaire à celle des soignants de l’IMAD. Les contraintes liées à l’uniforme ne sont pas les mêmes, indépendamment du temps nécessaire pour revêtir celui-ci, et ce pour des raisons évidentes d’hygiène, au regard des patients fragiles et malades avec lesquels le personnel de cette institution a contact. Alors que l’uniforme des agents de détention peut être revêtu au domicile ou sur le lieu de travail, il est notoire que les vêtements de travail du personnel soignant sont, pour des motifs d’hygiène, revêtus sur le lieu de travail uniquement. Il n’existe pas non plus d’inégalité de traitement par rapport au personnel pénitentiaire non soumis au port d’un uniforme, dès lors que pour l’une ou l’autre catégorie, l’obligation reste la même, à savoir se vêtir avant de se rendre au travail. Dans tous les cas, aucune obligation n’est imposée au recourant de revêtir son uniforme sur son lieu de travail plutôt qu’à son domicile.</w:t>
      </w:r>
    </w:p>
    <w:p>
      <w:r>
        <w:t>Enfin, le présent litige se rapporte exclusivement à la situation du recourant et non à celle des autres membres du personnel de l’État ayant sollicité des décisions pour les mêmes motifs que ceux invoqués par celui-ci. Cela étant, le fait</w:t>
      </w:r>
    </w:p>
    <w:p>
      <w:r>
        <w:t>- 16/19 - A/1591/2022 que des décisions similaires aient été rendues n’apparaît pas critiquable dès lors que, même soumis à des horaires différents, la problématique et les normes légales applicables aux autres recourants sont en substance les mêmes.</w:t>
      </w:r>
    </w:p>
    <w:p>
      <w:r>
        <w:t>Ce grief sera dès lors écarté. 9)</w:t>
      </w:r>
    </w:p>
    <w:p>
      <w:r>
        <w:t>Le recourant considère que le fait de lui imposer de consacrer une demi- heure, respectivement une heure, par jour de son temps libre à vêtir et dévêtir son uniforme représenterait une ingérence grave dans sa liberté personnelle ainsi que sa vie privée et familiale.</w:t>
      </w:r>
    </w:p>
    <w:p>
      <w:r>
        <w:t>a. La liberté personnelle (art. 10 al. 2 Cst.) garantit aux personnes physiques la liberté de mouvement (ATF 142 I 135 consid. 4.1) ainsi que tous les aspects élémentaires de l'épanouissement personnel (ATF 142 I 195 consid. 3.2).</w:t>
      </w:r>
    </w:p>
    <w:p>
      <w:r>
        <w:t>Le droit au respect de la sphère privée au sens de l'art. 13 al. 1 Cst., dont le champ d'application matériel concorde largement avec celui de l'art. 8 de la Convention de sauvegarde des droits de l’homme et des libertés fondamentales du</w:t>
      </w:r>
    </w:p>
    <w:p>
      <w:r>
        <w:rPr>
          <w:b/>
        </w:rPr>
        <w:t>E. 4</w:t>
      </w:r>
    </w:p>
    <w:p>
      <w:r>
        <w:t>novembre 1950 (CEDH - RS 0.101), garantit quant à lui notamment le droit de toute personne au respect de sa vie privée et familiale ; il protège l'identité, les relations sociales et les comportements intimes de chaque personne physique, l'honneur et la réputation (ATF 137 I 167 consid. 3.2 ; 135 I 198 consid. 3. 1 ; 126 II 377 consid. 7).</w:t>
      </w:r>
    </w:p>
    <w:p>
      <w:r>
        <w:t>b. Les droits fondamentaux peuvent être restreints, pour autant que la restriction soit fondée sur une base légale, repose sur un intérêt public ou sur la protection d'un droit fondamental d'autrui et soit proportionnée au but visé (art. 36 Cst.).</w:t>
      </w:r>
    </w:p>
    <w:p>
      <w:r>
        <w:t>Selon la jurisprudence, les restrictions graves aux libertés nécessitent une base légale claire et nette dans une loi formelle que le Tribunal fédéral revoit avec plein pouvoir d'examen (ATF 127 I 6 consid. 6 ; Giorgio MALINVERNI/ Michel HOTTELIER/Maya HERTIG RANDALL/Alexandre FLÜCKIGER, Droit constitutionnel suisse, vol. II, 4ème éd., 2021, n. 194), alors que les atteintes plus légères peuvent, par le biais d'une délégation législative, figurer dans des actes de niveau inférieur à la loi, ou trouver leur fondement dans une clause générale (ATF 123 I 112 consid. 7 ; 122 I 360 consid. 5b/bb ; ATA/488/2021 du 27 avril 2021 consid. 5a).</w:t>
      </w:r>
    </w:p>
    <w:p>
      <w:r>
        <w:t>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143 I 403 consid. 5.6.3 ; 141 I 20 consid. 6.2.1 ; 137 I 167 consid. 3.6).</w:t>
      </w:r>
    </w:p>
    <w:p>
      <w:r>
        <w:t>- 17/19 - A/1591/2022</w:t>
      </w:r>
    </w:p>
    <w:p>
      <w:r>
        <w:t>c. La question de savoir si le fait d’imposer une tenue spécifique pour l’exercice d’une profession constituerait une atteinte aux droits fondamentaux précités n’est ici pas litigieuse, le recourant relevant lui-même que le droit d’imposer l’uniforme n’a jamais été contesté. Seul est ainsi remis en cause le fait que l’habillage soit imposé durant son temps libre, sans contrepartie financière. Or, comme le relève à juste titre l’autorité intimée, l’élément qu’il dénonce est ainsi uniquement le fait de ne pas être rémunéré, ce qui ne constitue pas en tant que tel une atteinte à sa liberté personnelle ou à son droit au respect de sa sphère privée.</w:t>
      </w:r>
    </w:p>
    <w:p>
      <w:r>
        <w:t>Pour le surplus, même à admettre l’existence d’une atteinte à un droit fondamental – ce qui est contesté −, il n’en découlerait pas, comme semble le prétendre le recourant, le droit à obtenir une indemnisation. Le constat d’une telle atteinte pourrait certes aboutir à l’annulation de la décision s’y rapportant, mais ne saurait être réparée par l’allocation d’une indemnité.</w:t>
      </w:r>
    </w:p>
    <w:p>
      <w:r>
        <w:t>Partant, ce grief sera également écarté. 10) Compte tenu de ce qui précède, le recourant n'est pas parvenu à démontrer que le refus par le Conseil d’État de l’indemniser pour le temps nécessaire à revêtir, respectivement dévêtir, son uniforme serait contraire au droit. Ses conclusions relatives au paiement d’une indemnité seront dès lors également écartées.</w:t>
      </w:r>
    </w:p>
    <w:p>
      <w:r>
        <w:t>Mal fondé, le recours sera rejeté. 11) Vu l’issue du litige, un émolument de CHF 1’000.- sera mis à la charge du recourant, qui succombe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