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ATA/1046/2016 vom 13. Dezember 2016</w:t>
      </w:r>
    </w:p>
    <w:p>
      <w:r>
        <w:t>GE Cour de justice, 2016-12-13, FR</w:t>
      </w:r>
    </w:p>
    <w:p>
      <w:r>
        <w:rPr>
          <w:b/>
        </w:rPr>
        <w:t xml:space="preserve">Quelle: </w:t>
      </w:r>
      <w:r>
        <w:t>https://mcp.opencaselaw.ch/entscheid/ge_gerichte_ATA_1046_2016</w:t>
      </w:r>
    </w:p>
    <w:p>
      <w:r>
        <w:t>FR: GE_GERICHTE ATA/1046/2016 du 13 décembre 2016</w:t>
      </w:r>
    </w:p>
    <w:p>
      <w:r>
        <w:t>IT: GE_GERICHTE ATA/1046/2016 del 13 dicembre 2016</w:t>
      </w:r>
    </w:p>
    <w:p>
      <w:pPr>
        <w:pStyle w:val="Heading2"/>
      </w:pPr>
      <w:r>
        <w:t>Erwägungen</w:t>
      </w:r>
    </w:p>
    <w:p>
      <w:r>
        <w:rPr>
          <w:b/>
        </w:rPr>
        <w:t>E. 1</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w:t>
      </w:r>
    </w:p>
    <w:p>
      <w:r>
        <w:t>- 4/6 - A/3268/2016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2</w:t>
      </w:r>
    </w:p>
    <w:p>
      <w:r>
        <w:t>En l’espèce, il ne ressort pas clairement du dossier quelle est la décision attaquée.</w:t>
      </w:r>
    </w:p>
    <w:p>
      <w:r>
        <w:t>La recourante n’a fait mention que de la décision du 24 août 2016, dont elle n’était pas la destinataire. De surcroît, le recours à l’encontre de cette décision serait vraisemblablement tardif.</w:t>
      </w:r>
    </w:p>
    <w:p>
      <w:r>
        <w:t>Il ressort cependant du dossier produit par la SCOM, que celui-ci est entré en matière sur la lettre de l’intéressée du 1er septembre 2016, considérant qu’il s’agissait d’une demande de reconsidération de la décision du 24 août 2016. À retenir, comme le fait le SCOM, que Mme A______ ait la qualité pour solliciter la reconsidération de la décision du 24 août 2016, le SCOM aurait alors dû transmettre la présente correspondance à la chambre de céans au titre de recours (art. 64 al. 2 LPA). Vu sous cet angle, le recours aurait été déposé dans les délais.</w:t>
      </w:r>
    </w:p>
    <w:p>
      <w:r>
        <w:t>La question de la recevabilité sous cet angle souffrira toutefois de rester ouverte compte tenu de ce qui suit.</w:t>
      </w:r>
    </w:p>
    <w:p>
      <w:r>
        <w:rPr>
          <w:b/>
        </w:rPr>
        <w:t>E. 3</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w:t>
      </w:r>
    </w:p>
    <w:p>
      <w:r>
        <w:t>- 5/6 - A/3268/2016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La recourante allègue dans son écriture spontanée du 1er décembre 2016 qu’elle a déposé une nouvelle demande en autorisation d’exploiter avec un nouveau gérant.</w:t>
      </w:r>
    </w:p>
    <w:p>
      <w:r>
        <w:t>Le présent litige portait sur le rejet de la demande de Mme E______ d’exploiter le café-restaurant « C______ », requête déposée le 8 juillet 2016.</w:t>
      </w:r>
    </w:p>
    <w:p>
      <w:r>
        <w:t>La recourante ne fait pas mention de son intérêt à poursuivre la présente procédure en parallèle de la demande que le SCOM doit instruire.</w:t>
      </w:r>
    </w:p>
    <w:p>
      <w:r>
        <w:t>Il ressort au contraire des termes de sa dernière correspondance qu’elle semble avoir abandonné l’idée de solliciter une autorisation pour Mme E______ dont il n’est jamais fait mention, sans toutefois qu’elle ne mentionne clairement retirer son recours.</w:t>
      </w:r>
    </w:p>
    <w:p>
      <w:r>
        <w:t>Dans ces conditions, peut se poser la question de savoir si le litige conserve un objet. À défaut de détermination claire de la recourante, la chambre administrative laissera cette question ouverte vu ce qui suit.</w:t>
      </w:r>
    </w:p>
    <w:p>
      <w:r>
        <w:t>Il ressort en effet des écritures de la recourante que celle-ci n’a plus d’intérêt digne de protection à ce que la chambre administrative tranche le présent litige, dès lors qu’il appartiendrait au SCOM, en cas de nouveau refus, de veiller à ce que les droits procéduraux de la recourante soient strictement respectés.</w:t>
      </w:r>
    </w:p>
    <w:p>
      <w:r>
        <w:t>Le recours sera donc déclaré irrecevable.</w:t>
      </w:r>
    </w:p>
    <w:p>
      <w:r>
        <w:rPr>
          <w:b/>
        </w:rPr>
        <w:t>E. 4</w:t>
      </w:r>
    </w:p>
    <w:p>
      <w:r>
        <w:t>Vu l’issue du litige et vu les circonstances, il ne sera pas perçu d’émolument (art. 87 al. 1 LPA). Aucune indemnité de procédure ne sera allouée (art. 87 al. 2 LPA).</w:t>
      </w:r>
    </w:p>
    <w:p>
      <w:r>
        <w:t>- 6/6 - A/3268/2016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