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ATA/1045/2022 vom 18. Oktober 2022</w:t>
      </w:r>
    </w:p>
    <w:p>
      <w:r>
        <w:t>GE Cour de justice, 2022-10-18, FR</w:t>
      </w:r>
    </w:p>
    <w:p>
      <w:r>
        <w:rPr>
          <w:b/>
        </w:rPr>
        <w:t xml:space="preserve">Quelle: </w:t>
      </w:r>
      <w:r>
        <w:t>https://mcp.opencaselaw.ch/entscheid/ge_gerichte_ATA_1045_2022</w:t>
      </w:r>
    </w:p>
    <w:p>
      <w:r>
        <w:t>FR: GE_GERICHTE ATA/1045/2022 du 18 octobre 2022</w:t>
      </w:r>
    </w:p>
    <w:p>
      <w:r>
        <w:t>IT: GE_GERICHTE ATA/1045/2022 del 18 ottobre 2022</w:t>
      </w:r>
    </w:p>
    <w:p>
      <w:pPr>
        <w:pStyle w:val="Heading2"/>
      </w:pPr>
      <w:r>
        <w:t>Erwägungen</w:t>
      </w:r>
    </w:p>
    <w:p>
      <w:r>
        <w:rPr>
          <w:b/>
        </w:rPr>
        <w:t>E. 28</w:t>
      </w:r>
    </w:p>
    <w:p>
      <w:r>
        <w:t>LTr) ne sont pas comprises dans la contre-exception faite en faveur de la protection de la santé des travailleurs (arrêt du Tribunal fédéral 8C_789/2020 précité consid. 4.3.2 ; MEIER-GUBSER, op. cit., TREX 2019/1/37 ss, spéc. p. 40).</w:t>
      </w:r>
    </w:p>
    <w:p>
      <w:r>
        <w:t>Les dispositions contenues dans le chapitre « Durée du travail et du repos » de l'OLT 1 (art. 13 à 42 OLT 1) ne sont ainsi pas comprises dans le champ d'application de l'art. 3a LTr, même si l'art. 6 LTr est cité parmi les bases légales mentionnées. Pour les catégories de travailleurs énumérées sous let. a à c, les législations spécifiques de droit public (administrations) ou le code des obligations (contrats de droit privé) fixent le cadre de la durée du travail (commentaire de la LTr édité par le Secrétariat d’État à l’économie [ci-après : SECO], dans sa version d’avril 2022 [ci-après : Commentaire LTr], 003a-1 ; Roland A.MÜLLER/Christian MADUZ, Kommentar zum Arbeitsgesetz, 8ème éd., Zürich 2017, n° 4 ad art. 3a LTr).</w:t>
      </w:r>
    </w:p>
    <w:p>
      <w:r>
        <w:t>- 10/18 - A/1589/2022 5) a. En tant qu’agent de détention, le recourant était soumis à l’ancienne loi sur l’organisation et le personnel de la prison du 21 juin 1984 (aLOPP - F 1 50) et à son règlement d’application du 30 septembre 1985 (aROPP - F 1 50.01). Depuis le 1er mars 2017, il est soumis à la loi l’organisation des établissements et le statut du personnel pénitentiaire du 3 novembre 2016 (LOPP - F 1 50), qui a abrogé l’aLOPP (art. 34 LOPP) et au règlement sur l’organisation des établissements et le statut du personnel pénitentiaire du 22 février 2017 (ROPP - F 1 50.01), lequel a abrogé l’aROPP (art. 65 let. a ROPP). Depuis le 1er octobre 2012, il est également soumis au règlement fixant les indemnités pour la direction et le personnel de surveillance des établissements de détention du 31 octobre 2012 (RIED - F 1 50.09). Il est enfin soumis au code de déontologie.</w:t>
      </w:r>
    </w:p>
    <w:p>
      <w:r>
        <w:t>b. Selon l’art. 6 LOPP, le personnel pénitentiaire est soumis à la loi générale relative au personnel de l’administration cantonale, du pouvoir judiciaire et des établissements publics médicaux du 4 décembre 1997 (LPAC - B 5 05), et à ses dispositions d’application, sous réserve des dispositions particulières de la LOPP (al. 1). Il est de même soumis à la loi concernant le traitement et les diverses prestations alloués aux membres du personnel de l'État, du pouvoir judiciaire et des établissements hospitaliers du 21 décembre 1973 (LTrait - B 5 15) et à ses dispositions d’application (al. 2).</w:t>
      </w:r>
    </w:p>
    <w:p>
      <w:r>
        <w:t>Des droits particuliers sont notamment prévus aux art. 15 et 16 LOPP, et l’art. 29 LOPP prévoit que le Conseil d'État détermine par règlement la nature et le montant des indemnités et compensations auxquelles ont droit les membres du personnel pénitentiaire.</w:t>
      </w:r>
    </w:p>
    <w:p>
      <w:r>
        <w:t>L’art. 30 ROPP charge l’autorité compétente de fixer l’horaire de travail et le type d’horaires pour chaque membre du personnel pénitentiaire en fonction des nécessités de l'activité (al. 1). Cet horaire est réputé horaire réglementaire (al. 2). Tout horaire de travail et type d’horaire peut être modifié par l’autorité compétente afin de répondre aux nécessités de l’activité (al. 3). Pour le personnel pénitentiaire soumis à l’horaire irrégulier, la direction générale fixe par voie de directive les conditions dans lesquelles les horaires sont définis et sont modifiables (art. 56 al. 2 ROPP). Pour le personnel pénitentiaire non soumis à l’horaire irrégulier, l’art. 8A du règlement d’application de la loi générale relative au personnel de l’administration cantonale, du pouvoir judiciaire et des établissements publics médicaux du 24 février 1999 (RPAC - B 5 05.01) s’applique (art. 56A ROPP).</w:t>
      </w:r>
    </w:p>
    <w:p>
      <w:r>
        <w:t>Les art. 50 à 55 ROPP, prenant place dans le chapitre intitulé « droits et devoirs spécifiques du personnel pénitentiaire », traitent des différents indemnités, compensations ou débours auxquels le personnel pénitentiaire peut prétendre. Sous le titre « heures supplémentaires et service de piquet », les art. 56 à 59 ROPP traitent entre autres de la compensation des heures supplémentaires.</w:t>
      </w:r>
    </w:p>
    <w:p>
      <w:r>
        <w:t>- 11/18 - A/1589/2022</w:t>
      </w:r>
    </w:p>
    <w:p>
      <w:r>
        <w:t>c. Le RIED s'applique à la direction et au personnel de surveillance des établissements de détention (art. 1). Il prévoit des indemnités pour risques inhérents à la fonction (art. 2) et pour service de nuit et travaux spéciaux (art. 3).</w:t>
      </w:r>
    </w:p>
    <w:p>
      <w:r>
        <w:t>d. Sous la note marginale « habillement », l’art. 31 LOPP prévoit que les agents de détention sont armés et équipés aux frais de l’État (al. 1). Sauf dispositions contraires, les agents de détention portent l’uniforme (al. 2).</w:t>
      </w:r>
    </w:p>
    <w:p>
      <w:r>
        <w:t>Sous la note marginale « tenues vestimentaires et accessoires du personnel pénitentiaire », l’art. 6 ROPP prévoit que la direction générale définit une pratique transversale en matière de gestion et de commande des tenues vestimentaires et accessoires (al. 1). Dans ce cadre, les établissements évaluent leurs besoins en tenues vestimentaires et accessoires, sur la base des effectifs en personnel et des besoins de celui-ci (al. 2). La direction générale règle par directive le port de l’uniforme dans les établissements (al. 3).</w:t>
      </w:r>
    </w:p>
    <w:p>
      <w:r>
        <w:t>L’art. 50 ROPP prévoit en outre que les cas dans lesquels les agents de détention ne doivent pas porter l’uniforme dans le cadre de l’accomplissement de leur travail sont définis par la direction de l’établissement, en fonction des besoins du service et dans le respect de la directive prévue à l’art. 6 al. 3.</w:t>
      </w:r>
    </w:p>
    <w:p>
      <w:r>
        <w:t>e. La directive n° 5.2 précitée, entrée en vigueur le 1er octobre 2017, a pour objectif de régler la tenue portée par le personnel uniformé de l’OCD, l’organisation, la dotation et le renouvellement des diverses pièces d’uniforme pour l’ensemble des agents de l’OCD.</w:t>
      </w:r>
    </w:p>
    <w:p>
      <w:r>
        <w:t>Elle prévoit que l’uniforme ou une tenue civile peuvent être portés indifféremment entre le domicile et le lieu de travail (art. 3.1.c.a) et que dans tous les cas, le personnel porte son uniforme dès sa prise de service et jusqu’à la fin de celui-ci (art. 3.1.c.b), des exceptions étant prévues en cas de conduite accompagnée (art. 3.1.c.c). Le personnel doit exécuter son service vêtu de la tenue prescrite (art. 3.1.c.d).</w:t>
      </w:r>
    </w:p>
    <w:p>
      <w:r>
        <w:t>L'équipement des agents de détention est fourni par l'État (art. 3.2 à 3.4). Il comprend l'équipement collectif et l'équipement personnel (armement, matériel et tenues d'uniforme). Il est sous la responsabilité de son utilisateur, mais reste la propriété de la police (ch. 2).</w:t>
      </w:r>
    </w:p>
    <w:p>
      <w:r>
        <w:t>La tenue de service chaude comprend, outre les vêtements proprement dits, une ceinture de charge, un gilet multi-poches, des gants de protection et des gants chauds (art. 3.7.1). La tenue de service allégée comprend une ceinture de charge et des gants de protection (art. 3.7.b). La tenue spéciale des gardes GSCD et des gardes armés comprend en outre un étui à menottes, un pistolet dans son étui et un spray au poivre dans son étui (art. 3.8).</w:t>
      </w:r>
    </w:p>
    <w:p>
      <w:r>
        <w:t>- 12/18 - A/1589/2022 6) a. Le principe de la légalité, consacré à l'art. 5 al. 1 Cst., exige que les autorités n'agissent que dans le cadre fixé par la loi.</w:t>
      </w:r>
    </w:p>
    <w:p>
      <w:r>
        <w:t>b.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 135 II 416 consid. 2.2).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135 II 243 consid. 4.1 ; 133 III 175 consid. 3.3.1).</w:t>
      </w:r>
    </w:p>
    <w:p>
      <w:r>
        <w:t>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ou objectivement insoutenable (ATA/317/2020 du 31 mars 2020 consid. 2d ; Thierry TANQUEREL, Manuel de droit administratif, 2ème éd., 2018, n. 440).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 droit, voire d'une violation de la Constitution (ATF 139 I 57 consid. 5.2 ; 138 II 1 consid. 4.2). Lorsqu'il apparaît que c'est à dessein que la loi ne réglemente pas une situation donnée, ce silence qualifié doit en principe être respecté. Il n'y a alors pas de place pour un quelconque comblement de lacune (ATA/317/2020 précité consid. 2d ; Thierry TANQUEREL, op. cit., n. 441). 7)</w:t>
      </w:r>
    </w:p>
    <w:p>
      <w:r>
        <w:t>En l’espèce, les parties s’accordent sur le fait qu’il n’existe aucune base légale ou règlementaire cantonale prévoyant expressément que le temps consacré au changement de tenue du personnel pénitentiaire soumis au port d’un uniforme serait comptabilisé comme temps de travail et/ou donnerait droit à une indemnité.</w:t>
      </w:r>
    </w:p>
    <w:p>
      <w:r>
        <w:t>L’autorité intimée en conclut que la demande du recourant devrait dès lors être rejetée. Ce dernier considère au contraire que dès lors qu’aucune disposition</w:t>
      </w:r>
    </w:p>
    <w:p>
      <w:r>
        <w:t>- 13/18 - A/1589/2022 ne l’exclut non plus, il conviendrait de se livrer à une interprétation de la législation topique, au moyen des règles dégagées par la jurisprudence fédérale, et notamment grâce au droit privé qui aurait un régime équivalant. Toutefois, aucun élément ne permet de constater qu’un régime similaire au droit privé devrait être appliqué en l’espèce.</w:t>
      </w:r>
    </w:p>
    <w:p>
      <w:r>
        <w:t>En particulier, le fait que la directive DS COPP.01 à laquelle le recourant se réfère, intitulée « directive générale sur le temps de travail », entrée en vigueur le</w:t>
      </w:r>
    </w:p>
    <w:p>
      <w:r>
        <w:rPr>
          <w:b/>
        </w:rPr>
        <w:t>E. 30</w:t>
      </w:r>
    </w:p>
    <w:p>
      <w:r>
        <w:t>mars 2015 et mise à jour le 14 novembre 2018, réglemente des éléments de la même manière que dans la LTr, et en particulier dans l’art. 18 OLT 1, ne saurait signifier, comme semble le considérer le recourant, que le régime du droit privé devrait s’appliquer à la problématique du cas d’espèce. C’est également à tort que le recourant prétend que le régime instauré par la directive n° 5.2 concernant « l’habillement et la gestion des uniformes des agents de détention », qui prévoit le port de l’uniforme obligatoire dès la prise de service, rejoindrait celui prévalant en droit privé. Le recourant tente par ces allégations de fonder un rattachement avec la LTr et plus particulièrement l’art. 13 OLT 1, alors même que cette législation n’est pas applicable, sous réserve des art. 6, 35 et 36a LTr, au personnel des administrations publiques, et donc au personnel des établissements pénitentiaires.</w:t>
      </w:r>
    </w:p>
    <w:p>
      <w:r>
        <w:t>En outre, il ne saurait être tiré de l’art. 31 al. 1 LOPP, qui prévoit que les agents de détention sont armés et équipés aux frais de l’État, qu’une rémunération devrait leur être allouée pour le temps passé à revêtir et dévêtir leur uniforme. Le fait que l’art. 56 ROPP prévoie la rémunération des heures supplémentaires, ne permet pas non plus d’arriver à ce constat.</w:t>
      </w:r>
    </w:p>
    <w:p>
      <w:r>
        <w:t>Même à admettre l’application de la LTr, et en particulier de l’art. 13 OLT 1 cité par le recourant, la conclusion ne serait pas différente. En effet, selon l’art. 13 al. 1 OLT 1, est réputé durée du travail au sens de la loi le temps pendant lequel le travailleur doit se tenir à la disposition de l’employeur ; le temps qu’il consacre au trajet pour se rendre sur son lieu de travail et en revenir n’est pas réputé durée du travail. Le commentaire du SECO de l’OLT 1 de décembre 2020 [ci-après : Commentaire OLT] précise que toutes les activités et mesures qui doivent être effectuées ou prises, par exemple pour des raisons de sécurité ou d’hygiène au travail, avant que l’acte de travail à proprement dit puisse débuter, comptent comme temps de travail. L’habillage et le changement de vêtements nécessaires au processus de travail en font partie : enfilage d’un équipement de protection dans un but de protection de la santé et contre les accidents, enfilage d’une tenue de travail par-dessus les vêtements de ville ou d’une tenue de travail stérile ou encore passage dans un sas pour des raisons d’hygiène (ad. art. 13 OLT 1, p. 113 - 1). Ledit commentaire précise encore qu’est considéré comme temps de travail le temps pendant lequel le travailleur se tient à la disposition de l’employeur, indistinctement de l’endroit où il se trouve : qu’il s’agisse de l’entreprise, d’un</w:t>
      </w:r>
    </w:p>
    <w:p>
      <w:r>
        <w:t>- 14/18 - A/1589/2022 train ou de tout autre endroit, le lieu en soi n’est pas pris en considération (ad. art. 13 OLT 1, p. 113 - 1).</w:t>
      </w:r>
    </w:p>
    <w:p>
      <w:r>
        <w:t>À teneur dudit commentaire, pour être considéré comme temps de travail, il fait que des mesures soient nécessairement prises pour des raisons de sécurité, d'hygiène ou de santé « au travail ». Cela implique que la mesure doive obligatoirement être entreprise sur un lieu de travail et non au domicile. En effet, si le travailleur est libre de vêtir ou de dévêtir son uniforme à son domicile, on ne saurait admettre qu’il soit dans une situation dans laquelle il se tient « à la disposition de l’employeur ». Admettre le contraire reviendrait à devoir considérer que toute personne qui s’apprête d’une certaine manière avant de se rendre à son travail se tient à disposition de son employeur et doit être rémunérée pour cela.</w:t>
      </w:r>
    </w:p>
    <w:p>
      <w:r>
        <w:t>Aucune disposition légale ou règlementaire ni aucune directive n’interdit au personnel pénitentiaire soumis au port de l’uniforme de se rendre sur son lieu de travail vêtu de celui-ci. Au contraire, l’art. 3.1.c.a directive n° 5.2 concernant « l’habillement et la gestion des uniformes des agents de détention » prévoit expressément que l’uniforme peut être porté entre le domicile et le lieu de travail. Il va en revanche de soi que lorsque le membre du personnel pénitentiaire doit changer de tenue sur son lieu de travail, par exemple dans le cadre d’une mission déterminée, il s’agit de temps de travail comptabilisé comme tel. Il n’est par ailleurs pas contesté que l’arme de service fait partie des outils de travail de certains membres du personnel pénitentiaire. Cela étant, les obligations y relatives sont les mêmes pour le personnel de police en civil, de sorte qu’il n’y a pas de lien direct avec le port de l’uniforme, et donc avec l’indemnisation que le recourant souhaite obtenir à ce titre.</w:t>
      </w:r>
    </w:p>
    <w:p>
      <w:r>
        <w:t>Dans ces conditions, il n’est nul besoin d’instruire ni de discuter la question du temps consacré par le recourant à revêtir, respectivement dévêtir, son uniforme, ni encore de savoir s’il doit le faire en cas d’horaire avec pause. 8)</w:t>
      </w:r>
    </w:p>
    <w:p>
      <w:r>
        <w:t>Le recourant considère que la décision litigieuse consacrerait une inégalité de traitement avec les autres collaborateurs soumis à des rapports de droit public, tels que les soignants de l’IMAD, qui ont droit à l’indemnisation de leur temps d’habillage, ou encore les agents de détention non tenus au port de l’uniforme. La situation serait à l’inverse traitée de manière identique entre les quatre collaborateurs ayant sollicité une décision sur cette question, alors que leur situation concrète ne serait pas la même.</w:t>
      </w:r>
    </w:p>
    <w:p>
      <w:r>
        <w:t>a. Une décision ou un arrêté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w:t>
      </w:r>
    </w:p>
    <w:p>
      <w:r>
        <w:t>- 15/18 - A/1589/2022 le traitement différent ou semblable injustifié se rapporte à une situation de fait importante</w:t>
      </w:r>
    </w:p>
    <w:p>
      <w:r>
        <w:t>Une décision viole le droit à l'égalité de traitement consacré à l’art. 8 Cst. lorsqu'elle établit des distinctions juridiques qui ne se justifient par aucun motif raisonnable au regard de la situation de fait à réglementer ou lorsqu'elle omet de faire des distinctions qui s'imposent au vu des circonstances. Cela suppose que le traitement différent ou semblable injustifié se rapporte à une situation de fait importante (ATF 142 I 195 consid. 6.1 ; arrêt du Tribunal fédéral 2C_178/2022 du 16 mars 2022 consid. 5.1). La question de savoir si une distinction juridique repose sur un motif raisonnable peut recevoir une réponse différente selon les époques et suivant les conceptions, idéologies et situations du moment (ATF 129 I 161 consid. 3.2 ; 125 II 385 consid. 5b). L'inégalité de traitement apparaît comme une forme particulière d'arbitraire, consistant à traiter de manière inégale ce qui devrait l'être de manière semblable ou inversement (ATF 142 I 195 consid. 6.1 ; 137 I 167 consid. 3.5 ; 129 I 346 consid. 6).</w:t>
      </w:r>
    </w:p>
    <w:p>
      <w:r>
        <w:t>b. En l’espèce, contrairement à ce que fait valoir le recourant, sa situation n’est pas similaire à celle des soignants de l’IMAD. Les contraintes liées à l’uniforme ne sont pas les mêmes, indépendamment du temps nécessaire pour revêtir celui-ci, et ce pour des raisons évidentes d’hygiène, au regard des patients fragiles et malades avec lesquels le personnel de cette institution a contact. Alors que l’uniforme des agents de détention peut être revêtu au domicile ou sur le lieu de travail, il est notoire que les vêtements de travail du personnel soignant sont, pour des motifs d’hygiène, revêtus sur le lieu de travail uniquement. Il n’existe pas non plus d’inégalité de traitement par rapport au personnel pénitentiaire non soumis au port d’un uniforme, dès lors que pour l’une ou l’autre catégorie, l’obligation reste la même, à savoir se vêtir avant de se rendre au travail. Dans tous les cas, aucune obligation n’est imposée au recourant de revêtir son uniforme sur son lieu de travail plutôt qu’à son domicile.</w:t>
      </w:r>
    </w:p>
    <w:p>
      <w:r>
        <w:t>Enfin, le présent litige se rapporte exclusivement à la situation du recourant et non à celle des autres membres du personnel de l’État ayant sollicité des décisions pour les mêmes motifs que ceux invoqués par celui-ci. Cela étant, le fait que des décisions similaires aient été rendues n’apparaît pas critiquable dès lors que, même soumis à des horaires différents, avec ou sans pause, la problématique et les normes légales applicables aux autres recourants sont en substance les mêmes.</w:t>
      </w:r>
    </w:p>
    <w:p>
      <w:r>
        <w:t>Ce grief sera dès lors écarté. 9)</w:t>
      </w:r>
    </w:p>
    <w:p>
      <w:r>
        <w:t>Le recourant considère que le fait de lui imposer de consacrer une demi- heure, respectivement une heure, par jour de son temps libre à vêtir et dévêtir son uniforme représenterait une ingérence grave dans sa liberté personnelle ainsi que sa vie privée et familiale.</w:t>
      </w:r>
    </w:p>
    <w:p>
      <w:r>
        <w:t>- 16/18 - A/1589/2022</w:t>
      </w:r>
    </w:p>
    <w:p>
      <w:r>
        <w:t>a. La liberté personnelle (art. 10 al. 2 Cst.) garantit aux personnes physiques la liberté de mouvement (ATF 142 I 135 consid. 4.1) ainsi que tous les aspects élémentaires de l'épanouissement personnel (ATF 142 I 195 consid. 3.2).</w:t>
      </w:r>
    </w:p>
    <w:p>
      <w:r>
        <w:t>Le droit au respect de la sphère privée au sens de l'art. 13 al. 1 Cst., dont le champ d'application matériel concorde largement avec celui de l'art. 8 de la Convention de sauvegarde des droits de l’homme et des libertés fondamentales du 4 novembre 1950 (CEDH - RS 0.101), garantit quant à lui notamment le droit de toute personne au respect de sa vie privée et familiale ; il protège l'identité, les relations sociales et les comportements intimes de chaque personne physique, l'honneur et la réputation (ATF 137 I 167 consid. 3.2 ; 135 I 198 consid. 3. 1 ; 126 II 377 consid. 7).</w:t>
      </w:r>
    </w:p>
    <w:p>
      <w:r>
        <w:t>b. Les droits fondamentaux peuvent être restreints, pour autant que la restriction soit fondée sur une base légale, repose sur un intérêt public ou sur la protection d'un droit fondamental d'autrui et soit proportionnée au but visé (art. 36 Cst.).</w:t>
      </w:r>
    </w:p>
    <w:p>
      <w:r>
        <w:t>Selon la jurisprudence, les restrictions graves aux libertés nécessitent une base légale claire et nette dans une loi formelle que le Tribunal fédéral revoit avec plein pouvoir d'examen (ATF 127 I 6 consid. 6 ; Giorgio MALINVERNI/Michel HOTTELIER/Maya HERTIG RANDALL/Alexandre FLÜCKIGER, Droit constitutionnel suisse, vol. II, 4ème éd., 2021, n. 194), alors que les atteintes plus légères peuvent, par le biais d'une délégation législative, figurer dans des actes de niveau inférieur à la loi, ou trouver leur fondement dans une clause générale (ATF 123 I 112 consid. 7 ; 122 I 360 consid. 5b/bb).</w:t>
      </w:r>
    </w:p>
    <w:p>
      <w:r>
        <w:t>Pour être conforme au principe de la proportionnalité, une restriction à un droit fondamental doit être apte à atteindre le but visé, lequel ne peut pas être obtenu par une mesure moins incisive ; il faut en outre qu'il existe un rapport raisonnable entre les effets de la mesure sur la situation de la personne visée et le résultat escompté du point de vue de l'intérêt public (ATF 143 I 403 consid. 5.6.3 ; 141 I 20 consid. 6.2.1 ; 137 I 167 consid. 3.6).</w:t>
      </w:r>
    </w:p>
    <w:p>
      <w:r>
        <w:t>c. La question de savoir si le fait d’imposer une tenue spécifique pour l’exercice d’une profession constituerait une atteinte aux droits fondamentaux précités n’est pas litigieuse, le recourant concédant que le droit d’imposer l’uniforme n’est pas contesté. Seul est ainsi remis en cause le fait que l’habillage soit imposé durant son temps libre, sans contrepartie financière. Or, comme le relève à juste titre l’autorité intimée, l’élément qu’il dénonce est uniquement le fait de ne pas être rémunéré, ce qui ne constitue pas en tant que tel une atteinte à sa liberté personnelle ou à son droit au respect de sa sphère privée.</w:t>
      </w:r>
    </w:p>
    <w:p>
      <w:r>
        <w:t>Pour le surplus, même à admettre l’existence d’une atteinte à un droit fondamental – ce qui n’est pas établi −, il n’en découlerait pas, comme semble le</w:t>
      </w:r>
    </w:p>
    <w:p>
      <w:r>
        <w:t>- 17/18 - A/1589/2022 prétendre le recourant, le droit à obtenir une indemnisation. Le constat d’une telle atteinte pourrait certes aboutir à l’annulation de la décision s’y rapportant, mais ne saurait être réparée par l’allocation d’une indemnité.</w:t>
      </w:r>
    </w:p>
    <w:p>
      <w:r>
        <w:t>Partant, ce grief sera également écarté. 10) Compte tenu de ce qui précède, le recourant n'est pas parvenu à démontrer que le refus par le Conseil d’État de l’indemniser pour le temps nécessaire à revêtir, respectivement dévêtir, son uniforme serait contraire au droit. Ses conclusions relatives au paiement d’une indemnité seront dès lors également écartées.</w:t>
      </w:r>
    </w:p>
    <w:p>
      <w:r>
        <w:t>Mal fondé, le recours sera rejeté. 11) Vu l’issue du litige, un émolument de CHF 1'000.- sera mis à la charge du recourant et aucune indemnité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