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ATA/103/2010 vom 16. Februar 2010</w:t>
      </w:r>
    </w:p>
    <w:p>
      <w:r>
        <w:t>GE Cour de justice, 2010-02-16, FR</w:t>
      </w:r>
    </w:p>
    <w:p>
      <w:r>
        <w:rPr>
          <w:b/>
        </w:rPr>
        <w:t xml:space="preserve">Quelle: </w:t>
      </w:r>
      <w:r>
        <w:t>https://mcp.opencaselaw.ch/entscheid/ge_gerichte_ATA_103_2010</w:t>
      </w:r>
    </w:p>
    <w:p>
      <w:r>
        <w:t>FR: GE_GERICHTE ATA/103/2010 du 16 février 2010</w:t>
      </w:r>
    </w:p>
    <w:p>
      <w:r>
        <w:t>IT: GE_GERICHTE ATA/103/2010 del 16 febbraio 2010</w:t>
      </w:r>
    </w:p>
    <w:p>
      <w:pPr>
        <w:pStyle w:val="Heading2"/>
      </w:pPr>
      <w:r>
        <w:t>Erwägungen</w:t>
      </w:r>
    </w:p>
    <w:p>
      <w:r>
        <w:rPr>
          <w:b/>
        </w:rPr>
        <w:t>E. 1</w:t>
      </w:r>
    </w:p>
    <w:p>
      <w:r>
        <w:t>Le Tribunal administratif est compétent pour connaître d’un recours contre une décision d’adjudication (art. 15 al. 1 bis let. e de l’Accord intercantonal sur les marchés publics du 25 novembre 1994 - AIMP - L 6 05 et 3 al. 1 de la loi autorisant le Conseil d’Etat à adhérer à l’accord intercantonal sur les marchés publics du 12 juin 1997 - L-AIMP - L 6 05.0 et 55 let. e et 56 al. 1 du règlement sur la passation des marchés publics du 17 décembre 2007 - RMP - L 6 05.01).</w:t>
      </w:r>
    </w:p>
    <w:p>
      <w:r>
        <w:rPr>
          <w:b/>
        </w:rPr>
        <w:t>E. 2</w:t>
      </w:r>
    </w:p>
    <w:p>
      <w:r>
        <w:t>Sauf dispositions contraires contenues dans l’AIMP, la procédure est réglée par la loi sur la procédure administrative du 12 septembre 1985 (LPA - E 5 10 ; art. 3 al. 4 L-AIMP).</w:t>
      </w:r>
    </w:p>
    <w:p>
      <w:r>
        <w:rPr>
          <w:b/>
        </w:rPr>
        <w:t>E. 3</w:t>
      </w:r>
    </w:p>
    <w:p>
      <w:r>
        <w:t>A teneur de l’art. 60 let. a et b LPA, ont qualité pour recourir les parties à la procédure qui a abouti à la décision attaquée et toute personne touchée directement par une décision et qui a un intérêt personnel digne de protection à ce qu’elle soit annulée ou modifiée.</w:t>
      </w:r>
    </w:p>
    <w:p>
      <w:r>
        <w:t>L’intérêt du recourant n’est digne de protection que s’il est actuel, c’est-à- 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vol. II, Berne, 2002, p. 642).</w:t>
      </w:r>
    </w:p>
    <w:p>
      <w:r>
        <w:t>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références citées ;</w:t>
      </w:r>
    </w:p>
    <w:p>
      <w:r>
        <w:t>- 5/6 - A/2557/2009 ATA/915/2004 du 23 novembre 2004 ; ATA/270/2001 du 24 avril 2001 ; ATA/731/2000 du 5 décembre 2000 ; ATA/295/1997 du 6 mai 1997 ; A. GRISEL, Traité de droit administratif, Neuchâtel, 1984, p. 900).</w:t>
      </w:r>
    </w:p>
    <w:p>
      <w:r>
        <w:t>En l’occurrence, le recours interjeté contre la décision d’exclusion ayant été rejeté, les recourantes ont perdu tout intérêt actuel à contester la décision d’adjudication dans la mesure où la décision qui les a empêchés de participer à la procédure d’évaluation des offres, est confirmée. Le défaut d’intérêt actuel entraîne l’irrecevabilité du recours qui est constaté sans autres actes d’instruction (art. 72 LPA).</w:t>
      </w:r>
    </w:p>
    <w:p>
      <w:r>
        <w:rPr>
          <w:b/>
        </w:rPr>
        <w:t>E. 4</w:t>
      </w:r>
    </w:p>
    <w:p>
      <w:r>
        <w:t>Vu l’issue du recours, un émolument de procédure de CHF 500.- sera mis à la charge conjointe et solidaire des recourantes. De même, une indemnité de procédure de CHF 1'000.- sera allouée à la Commune du Grand-Saconnex qui a dû mandater un avocat. Une indemnité de CHF 1'000.- sera allouée aux appelées en cause prises solidairement. Ces deux indemnités seront mises à la charge conjointe et solidaire des recourantes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