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ATA/1034/2018 vom 2. Oktober 2018</w:t>
      </w:r>
    </w:p>
    <w:p>
      <w:r>
        <w:t>GE Cour de justice, 2018-10-02, FR</w:t>
      </w:r>
    </w:p>
    <w:p>
      <w:r>
        <w:rPr>
          <w:b/>
        </w:rPr>
        <w:t xml:space="preserve">Quelle: </w:t>
      </w:r>
      <w:r>
        <w:t>https://mcp.opencaselaw.ch/entscheid/ge_gerichte_ATA_1034_2018</w:t>
      </w:r>
    </w:p>
    <w:p>
      <w:r>
        <w:t>FR: GE_GERICHTE ATA/1034/2018 du 2 octobre 2018</w:t>
      </w:r>
    </w:p>
    <w:p>
      <w:r>
        <w:t>IT: GE_GERICHTE ATA/1034/2018 del 2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 été interjeté devant la juridiction compétente (art. 132 de la loi sur l'organisation judiciaire du 26 septembre 2010 - LOJ - E 2 05).</w:t>
      </w:r>
    </w:p>
    <w:p>
      <w:r>
        <w:rPr>
          <w:b/>
        </w:rPr>
        <w:t>E. 2</w:t>
      </w:r>
    </w:p>
    <w:p>
      <w:r>
        <w:t>Se pose toutefois la question de savoir si le recours a été formé dans le délai légal de trente jours (art. 62 al. 1 let. a loi sur la procédure administrative du 12 septembre 1985 - LPA - E 5 10).</w:t>
      </w:r>
    </w:p>
    <w:p>
      <w:r>
        <w:t>a. Selon l’art. 63 al. 1 LPA, les délais en jours fixés par la loi ne courent pas du 18 décembre au 2 janvier inclusivement (let. c). Selon l’al. 2 let. e de cette disposition, cette règle ne s’applique pas dans les procédures soumises aux règles de la loi de procédure fiscale du 4 octobre 2001 (LPFisc - D 3 17).</w:t>
      </w:r>
    </w:p>
    <w:p>
      <w:r>
        <w:t>La LPFisc est applicable aux impôts régis par les lois suivantes et forme avec ces dernières la législation désignée ci-après législation fiscale : la loi sur l'imposition des personnes physiques du 27 septembre 2009 (LIPP - D 3 08), la loi sur l’imposition des personnes morales du 23 septembre 1994 (LIPM - D 3 15) et la loi générale sur les contributions publiques du 9 novembre 1887 (LCP - D 3 05) première partie (titres I, II et IV) et deuxième partie (titres I et II) (art. 1 LPFisc).</w:t>
      </w:r>
    </w:p>
    <w:p>
      <w:r>
        <w:t>La LPFisc contient, sous son titre III, les règles relatives à la procédure de taxation ordinaire, sous son titre IV, les règles relatives à la réclamation et sous son titre V, les règles relatives aux procédures de recours devant le TAPI et la chambre administrative. Selon l’art. 49 al. 1 LPFisc le contribuable peut s'opposer à la décision sur réclamation du département en s'adressant, dans les trente jours à compter de la notification de la décision attaquée, au Tribunal administratif de première instance. La LPFisc ne prévoit pas de suspension des délais. À teneur de l’art. 2 al. 2 LPFisc, la LPA est applicable pour autant que la LPFisc n’y déroge pas.</w:t>
      </w:r>
    </w:p>
    <w:p>
      <w:r>
        <w:t>Il ressort clairement de la lettre des dispositions précitées ainsi que de leur systématique que les « procédures soumises aux règles de la LPFisc » au sens de l’art. 63 al. 2 let. e LPA sont, en application de l’art. 1 LPFisc, les procédures relatives aux impôts régis par la LIPM, la LIPP et la LCP. D’autre part, la LPFisc réglemente tant la procédure ordinaire et la procédure de réclamation que les</w:t>
      </w:r>
    </w:p>
    <w:p>
      <w:r>
        <w:t>- 4/5 - A/2165/2016 procédures de recours devant le TAPI et la chambre de céans. Par conséquent, toutes ces procédures doivent être considérées comme « soumises à la LPFisc ». Peu importe à cet égard que la LPA soit également applicable, puisqu’elle l’est par renvoi de la LPFisc (ATA/299/2016 du 12 avril 2016 consid. 3 et les nombreuses références citées ; arrêts du Tribunal fédéral 2C_512/2016 et 2C_513/2016 du 13 juin 2016).</w:t>
      </w:r>
    </w:p>
    <w:p>
      <w:r>
        <w:t>b. Il découle de ce qui précède que la suspension de délai ne s’applique pas au présent litige qui se rapporte à une procédure soumise aux règles de la LPFisc.</w:t>
      </w:r>
    </w:p>
    <w:p>
      <w:r>
        <w:t>Le jugement ayant été notifié le 28 novembre 2018, le délai de recours arrivait à échéance le 28 décembre 2018. Expédié le 12 janvier 2018, le recours est donc tardif et devra, ainsi, être déclaré irrecevable.</w:t>
      </w:r>
    </w:p>
    <w:p>
      <w:r>
        <w:t>Il est encore relevé qu’aucun élément au dossier ne permet de retenir l’existence d’un cas de force majeure justifiant la restitution du délai de recours ; le recourant ne le soutient d’ailleurs pas.</w:t>
      </w:r>
    </w:p>
    <w:p>
      <w:r>
        <w:rPr>
          <w:b/>
        </w:rPr>
        <w:t>E. 3</w:t>
      </w:r>
    </w:p>
    <w:p>
      <w:r>
        <w:t>Vu l'issue du litige, un émolument de CHF 700.- sera mis à la charge du recourant (art. 87 al. 1 LPA), et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