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ATA/102/2010 vom 16. Februar 2010</w:t>
      </w:r>
    </w:p>
    <w:p>
      <w:r>
        <w:t>GE Cour de justice, 2010-02-16, FR</w:t>
      </w:r>
    </w:p>
    <w:p>
      <w:r>
        <w:rPr>
          <w:b/>
        </w:rPr>
        <w:t xml:space="preserve">Quelle: </w:t>
      </w:r>
      <w:r>
        <w:t>https://mcp.opencaselaw.ch/entscheid/ge_gerichte_ATA_102_2010</w:t>
      </w:r>
    </w:p>
    <w:p>
      <w:r>
        <w:t>FR: GE_GERICHTE ATA/102/2010 du 16 février 2010</w:t>
      </w:r>
    </w:p>
    <w:p>
      <w:r>
        <w:t>IT: GE_GERICHTE ATA/102/2010 del 16 febbraio 2010</w:t>
      </w:r>
    </w:p>
    <w:p>
      <w:pPr>
        <w:pStyle w:val="Heading2"/>
      </w:pPr>
      <w:r>
        <w:t>Erwägungen</w:t>
      </w:r>
    </w:p>
    <w:p>
      <w:r>
        <w:rPr>
          <w:b/>
        </w:rPr>
        <w:t>E. 1</w:t>
      </w:r>
    </w:p>
    <w:p>
      <w:r>
        <w:t>Il n’est pas contesté que le litige est soumis aux règles de l’accord GATT- OMC et à l'AIMP, à la loi autorisant le Conseil d’Etat à adhérer à l'accord intercantonal sur les marchés publics du 12 juin 1997 (L-AIMP - L 6 05.0), à l'AIMP de même qu'au RMP.</w:t>
      </w:r>
    </w:p>
    <w:p>
      <w:r>
        <w:rPr>
          <w:b/>
        </w:rPr>
        <w:t>E. 2</w:t>
      </w:r>
    </w:p>
    <w:p>
      <w:r>
        <w:t>Le Tribunal administratif est compétent pour connaître d’un recours contre une décision excluant un soumissionnaire d’un marché public (art. 15 al. 1 bis let. d AIMP ; 3 al. 1 L-AIMP ; 55 let. c et 56 al. 1 RMP).</w:t>
      </w:r>
    </w:p>
    <w:p>
      <w:r>
        <w:rPr>
          <w:b/>
        </w:rPr>
        <w:t>E. 3</w:t>
      </w:r>
    </w:p>
    <w:p>
      <w:r>
        <w:t>Le recours, qui respecte le délai légal de 10 jours des art. 15 al. 2 AIMP et 56 al. 1 RMP, et qui a été formé par l'ensemble des sociétés destinataires de la décision d'exclusion (art. 60 al. 1 let. a et let. b LPA ; Arrêt du Tribunal fédéral 2P.157/2003 du 17 décembre 2004), est recevable.</w:t>
      </w:r>
    </w:p>
    <w:p>
      <w:r>
        <w:rPr>
          <w:b/>
        </w:rPr>
        <w:t>E. 4</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w:t>
      </w:r>
    </w:p>
    <w:p>
      <w:r>
        <w:rPr>
          <w:b/>
        </w:rPr>
        <w:t>E. 5</w:t>
      </w:r>
    </w:p>
    <w:p>
      <w:r>
        <w:t>L’appel d’offres émis par l’autorité adjudicatrice doit donner un certain nombre de renseignements et notamment contenir tous les renseignements nécessaires à l’établissement de l’offre (art. 27 RMP). Parmi ceux-ci il doit énumérer la liste des pièces et documents à joindre à celle-ci (art. 27 let. e RMP). De son côté, pour être admis à soumissionner, un soumissionnaire, au-delà des autres critères de compatibilité et d'aptitudes qui peuvent être demandés, doit fournir un certain nombre de documents obligatoires énoncés à l’art. 32 RMP. Parmi les documents à fournir, figurent des attestations justifiant que la couverture de personnel en matière d’assurances sociales et assurée, conformément à la législation en vigueur au siège du soumissionnaire et que ce dernier est à jour avec le paiement de ses cotisations (art. 32 al. 1 let. a RMP).</w:t>
      </w:r>
    </w:p>
    <w:p>
      <w:r>
        <w:rPr>
          <w:b/>
        </w:rPr>
        <w:t>E. 6</w:t>
      </w:r>
    </w:p>
    <w:p>
      <w:r>
        <w:t>L’offre d’un soumissionnaire est écartée d’office par une décision d’exclusion, lorsque celui-ci a rendu une offre tardive, incomplète ou non- conforme aux exigences du cahier des charges (art. 42 al. 1 let. a RMP).</w:t>
      </w:r>
    </w:p>
    <w:p>
      <w:r>
        <w:t>- 9/12 - A/2368/2009</w:t>
      </w:r>
    </w:p>
    <w:p>
      <w:r>
        <w:rPr>
          <w:b/>
        </w:rPr>
        <w:t>E. 7</w:t>
      </w:r>
    </w:p>
    <w:p>
      <w:r>
        <w:t>Le droit des marchés publics est formaliste, comme le tribunal de céans l’a déjà rappelé à plusieurs reprises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rPr>
          <w:b/>
        </w:rPr>
        <w:t>E. 8</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 (J.-B. ZUFFEREY, C. MAILLARD, N. MICHEL, Droit des marchés publics, 2002, p. 110 ; O. RODONDI La gestion de la procédure de soumission, cité ci-après : La gestion in ZUFFEREY, STOECKLI Droit des marchés publics 2008 p. 185 no 63, p. 186).</w:t>
      </w:r>
    </w:p>
    <w:p>
      <w:r>
        <w:rPr>
          <w:b/>
        </w:rPr>
        <w:t>E. 9</w:t>
      </w:r>
    </w:p>
    <w:p>
      <w:r>
        <w:t>A cet égard, même les auteurs qui préconisent une certaine souplesse dans le traitement des informalités, admettent que l’autorité adjudicatrice détient un certain pouvoir d’appréciation sur le degré de sévérité dont elle désire faire preuve dans le traitement des offres, pour autant qu’elle applique la même rigueur, respectivement la même flexibilité à l’égard des différents soumissionnaires (O. RODONDI, Les délais en droit des marchés publics, cités ci-après : les délais, RDAF 2007 I p. 187 et 289).</w:t>
      </w:r>
    </w:p>
    <w:p>
      <w:r>
        <w:rPr>
          <w:b/>
        </w:rPr>
        <w:t>E. 10</w:t>
      </w:r>
    </w:p>
    <w:p>
      <w:r>
        <w:t>Les principes précités valent également pour la phase d’examen de la recevabilité des soumissions (O. RODONDI, La gestion, no 65,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w:t>
      </w:r>
    </w:p>
    <w:p>
      <w:r>
        <w:t>En l’occurrence, en vertu du cahier des charges, il était demandé à chaque soumissionnaire d’établir par pièces, la couverture de son personnel en matière de prévoyance professionnelle et l’absence de retard dans le paiement de ses</w:t>
      </w:r>
    </w:p>
    <w:p>
      <w:r>
        <w:t>- 10/12 - A/2368/2009 cotisations. Les recourants ont certes fourni des attestations d’assurance, mais celles-ci ne permettent pas de comprendre clairement que Itten+Brechbuhl S.A. et Gartenmann Engineering S.A. remplissaient les conditions requises. Même si ces documents visaient dans leur intitulé chacune de ces deux sociétés soumissionnaires, ils confirmaient à teneur de leur libellé l’affiliation auprès d’une fondation de prévoyance collective d’une société tierce sans expliquer aucunement le rapport que celle-ci entretenait avec les deux soumissionnaires. La consultation des autres documents annexés à l’offre ne permettait pas d’en savoir davantage. En particulier, les rapports de groupe exposés par les recourantes pour expliquer la raison de la mention de la raison sociale de Gartenmann &amp; Partners Holding A.G. de cette société holding sur les attestations d’assurance, n’étaient pas explicités par la documentation remise. En de telles circonstances, l’autorité adjudicatrice, qui avait énoncé clairement dans son appel d’offre quelles attestations devaient être fournies et les conséquences qu’entraînait pour le soumissionnaire le non-respect de sa demande, était légitimée à se montrer stricte au moment de l’ouverture des offres et à écarter celle des recourantes qui ne fournissaient pas les informations demandées. Dans la mesure où, ainsi que le procès-verbal du groupe d’évaluation du 22 juin 2009 permet de le retenir, l’autorité adjudicatrice a fait preuve de la même attitude stricte vis-à-vis de tous les soumissionnaires, la décision d’exclusion ne peut qu’être confirmée.</w:t>
      </w:r>
    </w:p>
    <w:p>
      <w:r>
        <w:rPr>
          <w:b/>
        </w:rPr>
        <w:t>E. 11</w:t>
      </w:r>
    </w:p>
    <w:p>
      <w:r>
        <w:t>Le recours sera rejeté. Un émolument de CHF 2'000.- sera mis à la charge conjointe et solidaire des recourantes qui succombent (art. 87 al. 1 LPA). De même, une indemnité de procédure de CHF 1'500.- à la charge conjointe et solidaires des recourants, sera allouée à la commune du Grand-Saconnex, qui s’est vue contrainte de mandater 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