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ATA/1029/2020 vom 13. Oktober 2020</w:t>
      </w:r>
    </w:p>
    <w:p>
      <w:r>
        <w:t>GE Cour de justice, 2020-10-13, FR</w:t>
      </w:r>
    </w:p>
    <w:p>
      <w:r>
        <w:rPr>
          <w:b/>
        </w:rPr>
        <w:t xml:space="preserve">Quelle: </w:t>
      </w:r>
      <w:r>
        <w:t>https://mcp.opencaselaw.ch/entscheid/ge_gerichte_ATA_1029_2020</w:t>
      </w:r>
    </w:p>
    <w:p>
      <w:r>
        <w:t>FR: GE_GERICHTE ATA/1029/2020 du 13 octobre 2020</w:t>
      </w:r>
    </w:p>
    <w:p>
      <w:r>
        <w:t>IT: GE_GERICHTE ATA/1029/2020 del 13 ottobre 2020</w:t>
      </w:r>
    </w:p>
    <w:p>
      <w:pPr>
        <w:pStyle w:val="Heading2"/>
      </w:pPr>
      <w:r>
        <w:t>Erwägungen</w:t>
      </w:r>
    </w:p>
    <w:p>
      <w:r>
        <w:rPr>
          <w:b/>
        </w:rPr>
        <w:t>E. 12</w:t>
      </w:r>
    </w:p>
    <w:p>
      <w:r>
        <w:t>septembre 1985 - LPA - E 5 10). 2)</w:t>
      </w:r>
    </w:p>
    <w:p>
      <w:r>
        <w:t>Le recourant a mandaté un étudiant en droit pour le représenter dans la procédure au stade de la réplique. Il a contresigné l’écriture rédigée par celui-ci.</w:t>
      </w:r>
    </w:p>
    <w:p>
      <w:r>
        <w:t>De ce fait, la question de savoir si la qualité de mandataire professionnellement qualifié, au sens de l’art. 9 LPA, peut être reconnue en l’espèce audit étudiant, souffrira de rester indécise. 3)</w:t>
      </w:r>
    </w:p>
    <w:p>
      <w:r>
        <w:t>Le recourant sollicite, au préalable, la comparution personnelle des parties ainsi que l’audition d’un assistant de la faculté ayant surveillé l’examen du 21 janvier 2020.</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Le droit d’être entendu n’implique pas non plus une audition personnelle de l’intéressé, celui-ci devant simplement disposer d’une occasion de se déterminer</w:t>
      </w:r>
    </w:p>
    <w:p>
      <w:r>
        <w:t>- 7/11 - A/1849/2020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w:t>
      </w:r>
    </w:p>
    <w:p>
      <w:r>
        <w:t>b. En l'espèce, le recourant a pu se prononcer par écrit tant devant l'autorité intimée que devant la chambre de céans, et il n'explique pas en quoi son audition permettrait d'apporter un quelconque élément décisif supplémentaire par rapport aux pièces produites ou ses observations écrites.</w:t>
      </w:r>
    </w:p>
    <w:p>
      <w:r>
        <w:t>En tant que l’audition sollicitée porte sur des faits déjà établis, non contestés ou dont la pertinence pour la solution du litige n’est pas établie, il sera renoncé à y donner suite. Pour le surplus, la chambre de céans dispose d'un dossier complet lui permettant de statuer en connaissance de cause. 4)</w:t>
      </w:r>
    </w:p>
    <w:p>
      <w:r>
        <w:t>Le recourant soutient que l’application du règlement d’études du baccalauréat en biologie, entré en vigueur le 17 septembre 2018 (ci-après : REB 2018), et singulièrement la disposition transitoire qu’il comporte (art. A 8 novies al. 2 REB), le défavoriserait par rapport aux autres étudiants ayant commencé leur 2ème année à la rentrée 2018.</w:t>
      </w:r>
    </w:p>
    <w:p>
      <w:r>
        <w:t>a. Le REB, comme le règlement d’études général de la faculté des sciences (ci-après : REG), est entré en vigueur le 17 septembre 2018 et s’applique à tous les étudiants, sous quelques réserves énumérées aux art. 24 al. 3 et 4 REG 2018 et art. A 8 novies al. 2 REB.</w:t>
      </w:r>
    </w:p>
    <w:p>
      <w:r>
        <w:t>L’art. 8 novies al. 2 REB prévoit que pour les étudiants ayant déjà commencé leur deuxième année avant la rentrée 2018, une seule note de branche inférieure à 4, mais supérieure ou égale à 3 est admise selon l’art. A8 septies, al. 5 de l’ancien règlement (ci-après : aREB). Pour les étudiants qui commencent leur deuxième année à la rentrée 2018, deux notes de branches inférieures à 4 mais supérieures ou égales à 3 sont admises (art. A 8 septies al. 5 et art. 8 novies al. 2 REB 2018).</w:t>
      </w:r>
    </w:p>
    <w:p>
      <w:r>
        <w:t>b. En l’espèce, l’élimination du recourant a été prononcée en application de l’art. 13 al. 2 REG, lequel prévoit que chaque évaluation ne peut être répétée qu’une seule fois, une 3ème tentative n’étant possible que pour une seule évaluation, par année réglementaire d’études. Ainsi, en faisant état de la différence entre le REB et l’aREB, l’argumentation du recourant tombe à faux, la note ayant mené à son élimination est un 2 et non une note égale ou supérieure à 3.</w:t>
      </w:r>
    </w:p>
    <w:p>
      <w:r>
        <w:t>Partant, le grief sera écarté.</w:t>
      </w:r>
    </w:p>
    <w:p>
      <w:r>
        <w:t>- 8/11 - A/1849/2020 5)</w:t>
      </w:r>
    </w:p>
    <w:p>
      <w:r>
        <w:t>Le recourant se prévaut de circonstances exceptionnelles.</w:t>
      </w:r>
    </w:p>
    <w:p>
      <w:r>
        <w:t>a. Le doyen ou la doyenne tient compte des situations exceptionnelles lors de la prise d'une décision d'élimination (art. 58 al. 4 du statut de l'Université du 22 juin 2011 ; ci-après : statut).</w:t>
      </w:r>
    </w:p>
    <w:p>
      <w:r>
        <w:t>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ATA/250/2020 du 3 mars 2020).</w:t>
      </w:r>
    </w:p>
    <w:p>
      <w:r>
        <w:t>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(ATA/345/2020 du 7 avril 2020 consid. 7b ; ATA/250/2020 du 3 mars 2020 consid. 4c ATA/192/2020 du 18 février 2020).</w:t>
      </w:r>
    </w:p>
    <w:p>
      <w:r>
        <w:t>La production ultérieure d’un certificat médical ne peut remettre en cause le résultat obtenu lors d’un examen. Il est en effet difficile de concevoir un système d’examen efficace si des certificats médicaux produits après l’examen peuvent annuler une épreuve passée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w:t>
      </w:r>
    </w:p>
    <w:p>
      <w:r>
        <w:t>Il s'ensuit qu'en cas d'annonce tardive du motif d'empêchement, l'examen (insuffisant) est en général réputé non réussi (arrêt du Tribunal administratif fédéral B-6593/2013 précité consid. 4.2).</w:t>
      </w:r>
    </w:p>
    <w:p>
      <w:r>
        <w:t>- 9/11 - A/1849/2020</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(ATA/192/2020 du 18 février 2020 consid. 15c et les références citées). 6)</w:t>
      </w:r>
    </w:p>
    <w:p>
      <w:r>
        <w:t>En l’espèce, le recourant se prévaut notamment de son état de santé au moment de l’examen et du fait qu’il n’aurait pas été en état de prendre la décision de renoncer à se présenter en raison de la maladie qui s’était déclarée à ce moment-là. L’assistant auquel il s’était adressé l’avait induit à poursuivre son examen en dépit de son état de santé.</w:t>
      </w:r>
    </w:p>
    <w:p>
      <w:r>
        <w:t>L’attestation médicale fournie par le recourant un mois après l’examen, pour les besoins de son opposition n’indique pas que l’intéressé n’avait pas le discernement nécessaire pour participer à l’examen en raison de sa maladie, mais uniquement que la crise de panique survenue lors de l’examen était peut-être en lien avec ses capacités de répondre convenablement aux question demandées.</w:t>
      </w:r>
    </w:p>
    <w:p>
      <w:r>
        <w:t>En outre, le recourant a encore présenté d’autres examens lors de cette session et il n’a présenté un certificat médical d’incapacité qu’après avoir reçu les résultats de l’examen et de surcroît bien après le délai réglementaire de trois jours (art. 13 al. 5 REG 2018).</w:t>
      </w:r>
    </w:p>
    <w:p>
      <w:r>
        <w:t>En conséquence, c’est à juste titre que l’autorité intimée n’a pas retenu que l’état de santé du recourant constituait une circonstance à prendre en compte au titre de situation exceptionnelle. 7)</w:t>
      </w:r>
    </w:p>
    <w:p>
      <w:r>
        <w:t>Au vu de ce qui précède, le recours en tous points infondé sera rejeté.</w:t>
      </w:r>
    </w:p>
    <w:p>
      <w:r>
        <w:t>Vu l’issue du litige, un émolument de CHF 400.-, tenant compte de sa situation financière précaire, sera mis à la charge du recourant (art. 87 al. 1 LPA). Aucune indemnité de procédure ne lui sera allouée, pas plus qu’à l’université, qui dispose de son propre service juridique (art. 87 al. 2 LPA).</w:t>
      </w:r>
    </w:p>
    <w:p>
      <w:r>
        <w:t>* * * * *</w:t>
      </w:r>
    </w:p>
    <w:p>
      <w:r>
        <w:t>- 10/11 - A/1849/2020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