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ATA/1025/2023 vom 19. September 2023</w:t>
      </w:r>
    </w:p>
    <w:p>
      <w:r>
        <w:t>GE Cour de justice, 2023-09-19, FR</w:t>
      </w:r>
    </w:p>
    <w:p>
      <w:r>
        <w:rPr>
          <w:b/>
        </w:rPr>
        <w:t xml:space="preserve">Quelle: </w:t>
      </w:r>
      <w:r>
        <w:t>https://mcp.opencaselaw.ch/entscheid/ge_gerichte_ATA_1025_2023</w:t>
      </w:r>
    </w:p>
    <w:p>
      <w:r>
        <w:t>FR: GE_GERICHTE ATA/1025/2023 du 19 septembre 2023</w:t>
      </w:r>
    </w:p>
    <w:p>
      <w:r>
        <w:t>IT: GE_GERICHTE ATA/1025/2023 del 19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sous réserve de la conclusion tendant à l'octroi de mesures provisionnelles (autorisation de demeurer en Suisse pendant la procédure), qui est sans objet dès lors que la décision du 30 novembre 2020 n'a pas été déclarée exécutoire nonobstant recours (art. 66 al. 1 LPA). 2. Le litige porte sur la décision de l'intimé refusant de soumettre le dossier du recourant avec un préavis positif au SEM et prononçant son renvoi de Suisse. 2.1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ATA/431/2022 du 26 avril 2022 consid. 2a). 2.2 Le 1er janvier 2019 est entrée en vigueur une modification de la loi sur les étrangers du 16 décembre 2005 (LEtr), qui a alors été renommée LEI, et de l’OASA. Conformément à l’art. 126 al. 1 LEI, les demandes déposées, comme en l’espèce, après le 1er janvier 2019 sont régies par le nouveau droit (arrêt du Tribunal fédéral 2C_1075/2019 du 21 avril 2020 consid. 1.1). 2.3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Macédoine du Nord. 2.4 L'art. 30 al. 1 let. b LEI permet de déroger aux conditions d'admission en Suisse, telles que prévues aux art. 18 à 29 LEI, notamment aux fins de tenir compte des cas individuels d'une extrême gravité ou d'intérêts publics majeurs. 2.5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w:t>
      </w:r>
    </w:p>
    <w:p>
      <w:r>
        <w:t>- 12/22 - A/4413/2020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2023, ch. 5.6.10). 2.6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2.7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ATA/887/2023 du 22 août 2023 consid. 4.3).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 2.8 Parmi les éléments déterminants pour la reconnaissance d'un cas d'extrême gravité, il convient en particulier de citer la très longue durée du séjour en Suisse, une intégration sociale particulièrement poussée, une réussite professionnelle</w:t>
      </w:r>
    </w:p>
    <w:p>
      <w:r>
        <w:t>- 13/22 - A/4413/2020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2.9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ATA/822/2023 du 9 août 2023 consid. 3.9).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 2.10 L'« opération Papyrus » développée par le canton de Genève a visé à régulariser la situation des personnes non ressortissantes UE/AELE bien intégrées et répondant à différents critères, à savoir, selon le livret intitulé « Régulariser</w:t>
      </w:r>
    </w:p>
    <w:p>
      <w:r>
        <w:t>- 14/22 - A/4413/2020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(ATA/399/2023 du 18 avril 2023 consid. 6.1). 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(ATA/65/2023 du 24 janvier 2023 consid. 7). L’« opération Papyrus » a pris fin le 31 décembre 2018. 2.11 En l'espèce, quand bien même le séjour du recourant en Suisse aurait été interrompu entre 2016 et 2017 comme l'a retenu le TAPI, il est de presque 20 ans et donc indéniablement long. Cette durée doit toutefois être relativisée puisque le séjour du recourant s'est intégralement déroulé dans l'illégalité – ou, depuis 2019, au bénéfice d'une tolérance des autorités de migrations. Cette durée ne saurait dès lors à elle seule constituer un cas d'extrême gravité, de sorte qu'il n'est pas nécessaire d'investiguer plus avant si les périodes de présence à Genève retenues par le TAPI sont exactes. Son intégration socio-professionnelle apparaît bonne, comme l'a du reste retenu l'autorité intimée. Sur le plan professionnel et financier, le recourant a travaillé jusqu'en 2018, n’a pas recouru à l’aide sociale et n’a pas de dettes. Cela étant, l'indépendance économique est un aspect qui est en principe attendu de tout étranger désireux de s'établir durablement en Suisse et ne constitue donc pas un élément extraordinaire en faveur du recourant. Ainsi, si cet élément est à mettre au crédit de l’intéressé, il relève du comportement que l’on est en droit d’attendre de toute personne séjournant dans le pays (arrêts du Tribunal fédéral 2C_779/2016 du 13 septembre 2016 consid. 4.2 et 2C_789/2014 du 20 février 2015 consid.</w:t>
      </w:r>
    </w:p>
    <w:p>
      <w:r>
        <w:t>- 15/22 - A/4413/2020 2.2.2). Par ailleurs, l’activité du recourant dans le secteur du bâtiment n’est pas constitutive d'une ascension professionnelle remarquable et ne l’a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 Le recourant n'a pas été condamné pénalement et parle bien français, démontrant posséder un niveau B1 – ce qui n'apparaît toutefois pas exceptionnel si l'on prend en compte la durée du séjour du recourant en Suisse romande. Il dit aussi parler allemand, sans toutefois indiquer quel est son niveau. L’intéressé ne fait par ailleurs pas état de liens affectifs ou amicaux particulièrement forts. Il s'est certes investi dans la vie associative en démontrant être bénévole chez AR______ depuis novembre 2022, mais l'on ne peut exclure vu la récence de cet engagement – qui a commencé après le rejet de son recours par le TAPI – que ce dernier soit au moins en partie dicté par des motifs opportunistes. Il ne peut dès lors être retenu qu'il fait preuve d'une intégration sociale exceptionnelle en comparaison avec d'autres étrangers qui travaillent en Suisse depuis près de vingt ans. Il est enfin difficile d'évaluer son intégration à la lumière de sa pathologie psychiatrique, les différents certificats médicaux au dossier ne précisant pas quels sont chez le recourant les symptômes ou les manifestations de sa schizophrénie simple. Contrairement à ce qu'il allègue, sa réintégration en Macédoine du Nord n’apparaît pas gravement compromise. En effet, il y a passé toute son enfance, son adolescence et les premières années de sa vie d’adulte, puisqu'il est venu en Suisse à l'âge de 26 ans. Il maîtrise la langue de son pays d'origine et en connaît les us et coutumes. Son épouse et sa fille y vivent. Ainsi, malgré son long séjour en Suisse, son pays ne peut lui être devenu complètement étranger. Âgé de 45 ans et en bonne santé, il ne devrait pas rencontrer de problèmes de réintégration professionnelle plus importants que ceux de ses compatriotes revenant volontairement au pays, étant rappelé qu'il pourra se prévaloir de son expérience professionnelle acquise en Suisse. S'agissant de ses problèmes médicaux, on ne peut retenir qu'il est atteint dans sa santé d'une manière qui nécessite, pendant une longue période, des soins permanents ou des mesures médicales ponctuelles d'urgence, indisponibles dans le pays d'origine, de sorte qu'un départ de Suisse serait susceptible d'entraîner de graves conséquences pour sa santé. En effet, il fait l'objet d'un suivi médical et physiothérapeutique pour les séquelles de son accident, et d'un suivi psychothérapeutique et infirmier pour sa schizophrénie. Or le recourant n'allègue pas que de tels suivis soient disponibles dans son pays d'origine, mais uniquement qu'ils seraient de moindre qualité que ceux dispensés en Suisse – ce qui n'est pas</w:t>
      </w:r>
    </w:p>
    <w:p>
      <w:r>
        <w:t>- 16/22 - A/4413/2020 déterminant selon la jurisprudence précitée – ou qu'il lui serait difficile d'y avoir accès. Enfin, la demande à l'origine de la présente procédure a été présentée après la fin de l'« opération Papyrus », si bien qu'il n'y a pas lieu de s'y référer dans le cadre de l'examen du cas du recourant. Quant au communiqué de presse du 4 mars 2019, il ne saurait se substituer aux conditions posées par la législation et la jurisprudence en la matière (ATA/431/2022 du 26 avril 2022 consid. 6). 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Au vu de ce qui précède, l’autorité intimée n’a pas violé la loi, ni commis un abus de son pouvoir d’appréciation, en refusant de préaviser favorablement auprès du SEM la demande d’autorisation de séjour présentée par le recourant. 3. Le recourant invoque également le droit au respect de sa vie privée. 3.1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2C_734/2023 du 3 mai 2023 consid. 5.3.5). Les années passées en Suisse dans l'illégalité ou au bénéfice d'une simple tolérance ne sont pas déterminantes (ATF 137 II 1 consid. 4.3 ; 134 II 10 consid. 4.3). 3.2 Récemment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w:t>
      </w:r>
    </w:p>
    <w:p>
      <w:r>
        <w:t>- 17/22 - A/4413/2020 réussie (ATF 144 I 266 consid. 3.8 et 3.9 ; arrêt du Tribunal fédéral 2C_734/2022 du 3 mai 2023 consid. 5.3). 3.3 En l'espèce, le recourant n'a jamais été au bénéfice d'un titre de séjour, si bien que la première hypothèse prévue par la jurisprudence, soit un séjour légal d'au moins dix ans, n'est pas remplie. En outre, comme analysé au considérant précédent, on ne saurait décrire l'intégration du recourant comme exceptionnelle ou particulièrement réussie. Le grief de violation de l'art. 8 CEDH doit dès lors être écarté. 4. Enfin, le recourant soutient que son renvoi serait illicite ou inexigible, revendiquant donc matériellement d'être mis au bénéfice d'une admission provisoire. 4.1 Selon l'art. 64 al. 1 let. c LEI, toute personne étrangère dont l'autorisation est refusée, révoquée ou qui n'est pas prolongée après un séjour autorisé est renvoyée. La décision de renvoi est assortie d'un délai de départ raisonnable (art. 64 let. d al. 1 LEI). 4.2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4.3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w:t>
      </w:r>
    </w:p>
    <w:p>
      <w:r>
        <w:t>- 18/22 - A/4413/2020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4.4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w:t>
      </w:r>
    </w:p>
    <w:p>
      <w:r>
        <w:t>- 19/22 - A/4413/2020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4.5 En l'espèce, sans minimiser les problèmes de santé auxquels le recourant est confronté, ils ne sont pas d'une gravité telle qu'en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De plus, comme déjà examiné, des possibilités de poursuivre ses traitements existent en Macédoine du Nord, quand bien même la qualité de ceux-ci serait inférieure à celle qui prévaut en Suisse. Le TAF a du reste déjà à plusieurs reprises confirmé la disponibilité de soins psychiques en Macédoine du Nord (arrêt du TAF E- 897/2023 du 22 février 2023 et références citées). Au vu de ce qui précède, le recours sera rejeté. 5.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