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ATA/1023/2016 vom 6. Dezember 2016</w:t>
      </w:r>
    </w:p>
    <w:p>
      <w:r>
        <w:t>GE Cour de justice, 2016-12-06, FR</w:t>
      </w:r>
    </w:p>
    <w:p>
      <w:r>
        <w:rPr>
          <w:b/>
        </w:rPr>
        <w:t xml:space="preserve">Quelle: </w:t>
      </w:r>
      <w:r>
        <w:t>https://mcp.opencaselaw.ch/entscheid/ge_gerichte_ATA_1023_2016</w:t>
      </w:r>
    </w:p>
    <w:p>
      <w:r>
        <w:t>FR: GE_GERICHTE ATA/1023/2016 du 6 décembre 2016</w:t>
      </w:r>
    </w:p>
    <w:p>
      <w:r>
        <w:t>IT: GE_GERICHTE ATA/1023/2016 del 6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le refus de l'autorité intimée de délivrer au recourant une autorisation de séjour de longue durée avec activité lucrative indépendante (permis B), contingentée.</w:t>
      </w:r>
    </w:p>
    <w:p>
      <w:r>
        <w:rPr>
          <w:b/>
        </w:rPr>
        <w:t>E. 3</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4</w:t>
      </w:r>
    </w:p>
    <w:p>
      <w:r>
        <w:t>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 ressortant du dossier (ATF 136 I 229 consid. 5.2 ; 134 I 140 consid. 5.3 ; arrêt du Tribunal fédéral 8C_244/2014 du 17 mars 2015 consid. 3.2 ; ATA/5/2015 du</w:t>
      </w:r>
    </w:p>
    <w:p>
      <w:r>
        <w:rPr>
          <w:b/>
        </w:rPr>
        <w:t>E. 6</w:t>
      </w:r>
    </w:p>
    <w:p>
      <w:r>
        <w:t>Le séjour en Suisse en vue d’y exercer une activité lucrative est soumis à autorisation (art. 11 LEtr renvoyant aux art. 18 et ss LEtr). Cette dernière doit être</w:t>
      </w:r>
    </w:p>
    <w:p>
      <w:r>
        <w:t>- 7/11 - A/3127/2015 requise auprès du canton de prise d’emploi (art. 11 al. 1 LEtr). En cas d’activité salariée, la demande d’autorisation est déposée par l’employeur (art. 11 al. 3 LEtr.).</w:t>
      </w:r>
    </w:p>
    <w:p>
      <w:r>
        <w:rPr>
          <w:b/>
        </w:rPr>
        <w:t>E. 7</w:t>
      </w:r>
    </w:p>
    <w:p>
      <w:r>
        <w:t>a. Aux termes de l'art. 19 LEtr, un étranger peut être admis en vue de l'exercice d'une activité lucrative indépendante, soit de toute activité exercée par une personne dans le cadre de sa propre organisation, librement choisie, dans un but lucratif, soumise à ses propres instructions matérielles et à ses propres risques et périls (art. 2 al. 1 OASA), aux conditions cumulatives énoncées suivantes :</w:t>
      </w:r>
    </w:p>
    <w:p>
      <w:r>
        <w:t>- son admission sert les intérêts économiques du pays (art. 19 let. a LETr) ;</w:t>
      </w:r>
    </w:p>
    <w:p>
      <w:r>
        <w:t>- son admission respecte certaines conditions financières et les exigences relatives à l'exploitation de l'entreprise (art. 19 let. b LETr) ;</w:t>
      </w:r>
    </w:p>
    <w:p>
      <w:r>
        <w:t>- son admission remplit les conditions de respect des limites du contingentement fixé par le Conseil fédéral de l’art. 20 LETr, les conditions personnelles de l’art. 23 LEtr, les conditions de logement de l’art. 24 LEtr, les conditions de domicile de l’art. 25 LEtr s’il est domicilié dans une zone frontalière.</w:t>
      </w:r>
    </w:p>
    <w:p>
      <w:r>
        <w:t>b. La notion d'« intérêts économiques du pays » de l’art. 19 let. a LEtr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w:t>
      </w:r>
    </w:p>
    <w:p>
      <w:r>
        <w:rPr>
          <w:b/>
        </w:rPr>
        <w:t>E. 8</w:t>
      </w:r>
    </w:p>
    <w:p>
      <w:r>
        <w:t>En l’espèce, les activités que le recourant entend déployer à titre indépendant – et qu’il déploie déjà par l’intermédiaire de la société qu’il a constituée – se situent dans le domaine de la construction (second œuvre, peinture, papiers peints et rénovation). Elles sont sans conteste honorables par leur genre et utiles à la société civile, même si l’intéressé les a exercées sans autorisation. Elles ne peuvent toutefois être qualifiées d’activités servant les intérêts économiques de la Suisse, condition requise par l’art. 19 LEtr. Des entreprises du genre de celle qu’entend exploiter le recourant sont nombreuses en Suisse et l’octroi d’une autorisation de travail à ce dernier pour lui permettre d’en développer une nouvelle, quels que soient ses compétences et la qualité des activités qu’il a déjà menées, ne permettrait pas de contribuer à une diversification de l’économie régionale. Au demeurant, le TAPI, à juste titre, a retenu que le recourant, dans les activités entrepreneuriales qu’il a développées jusque-là, a principalement recouru à l’engagement de travailleurs pour de courtes durées, en fonction vraisemblablement des chantiers qu’il pouvait mener. Dans son recours, celui-ci</w:t>
      </w:r>
    </w:p>
    <w:p>
      <w:r>
        <w:t>- 9/11 - A/3127/2015 n’indique pas vouloir ou pouvoir changer de méthode de travail, si bien que l’entreprise qu’il entend mener sous son propre nom ne peut être considérée comme susceptible de créer de nouveaux emplois stables en Suisse. Au demeurant, les résultats financiers de la société par l’intermédiaire de laquelle le recourant a développé jusque-là ses activités, qui résultent de ses comptes 2014, ne permettent pas de considérer que celle-ci est viable économiquement puisque les résultats se sont soldés par une perte à l’issue l’année 2014. Certes, le recourant allègue que les perspectives pour ses activités, en termes de chiffre d’affaires, sont meilleures pour l’année 2015. À l’issue toutefois de l’instruction de la cause devant la chambre administrative, il n’a produit aucune nouvelle documentation à l’appui de cette affirmation, notamment les états financiers 2015 des activités qu’il a menées au travers de la société dont les comptes devraient pourtant être disponibles, ce qui ne permet pas de le suivre dans cet optimisme.</w:t>
      </w:r>
    </w:p>
    <w:p>
      <w:r>
        <w:t>Sur la base des éléments à sa disposition, c’est à juste titre que le TAPI a rejeté le recours de l’intéressé contre la décision de l’OCIRT du 29 juillet 2015. Le jugement déféré étant conforme au droit, le recours sera rejeté.</w:t>
      </w:r>
    </w:p>
    <w:p>
      <w:r>
        <w:rPr>
          <w:b/>
        </w:rPr>
        <w:t>E. 9</w:t>
      </w:r>
    </w:p>
    <w:p>
      <w:r>
        <w:t>Vu l’issue du recours,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