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ATA/1022/2024 vom 27. August 2024</w:t>
      </w:r>
    </w:p>
    <w:p>
      <w:r>
        <w:t>GE Cour de justice, 2024-08-27, FR</w:t>
      </w:r>
    </w:p>
    <w:p>
      <w:r>
        <w:rPr>
          <w:b/>
        </w:rPr>
        <w:t xml:space="preserve">Quelle: </w:t>
      </w:r>
      <w:r>
        <w:t>https://mcp.opencaselaw.ch/entscheid/ge_gerichte_ATA_1022_2024</w:t>
      </w:r>
    </w:p>
    <w:p>
      <w:r>
        <w:t>FR: GE_GERICHTE ATA/1022/2024 du 27 août 2024</w:t>
      </w:r>
    </w:p>
    <w:p>
      <w:r>
        <w:t>IT: GE_GERICHTE ATA/1022/2024 del 27 agosto 2024</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2</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t>- 3/5 - A/3740/2021</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w:t>
      </w:r>
    </w:p>
    <w:p>
      <w:r>
        <w:rPr>
          <w:b/>
        </w:rPr>
        <w:t>E. 2.2</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(ATA/823/2018 du 14 août 2018 consid. 2 ; ATA/1484/2017 précité ; arrêt du Tribunal fédéral 2C_152/2010 du 24 août 2010),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(ATA/1031/2018 du 2 octobre 2018 consid. 2b ; ATA/1156/2017 du 2 août 2017).</w:t>
      </w:r>
    </w:p>
    <w:p>
      <w:r>
        <w:rPr>
          <w:b/>
        </w:rPr>
        <w:t>E. 2.3</w:t>
      </w:r>
    </w:p>
    <w:p>
      <w:r>
        <w:t>En l’espèce, il ressort de l’arrêt du Tribunal fédéral que tant le TAPI que la chambre de céans ont confirmé à tort que les éventuels gains immobiliers futurs de la recourante devaient être soumis au régime de l’impôt sur le bénéfice. La recourante obtient ainsi entièrement gain de cause sur le point qu’elle contestait. Tant en première qu’en deuxième instance, elle a déposé deux écritures. Si l'état de faits ne présentait pas de complexité particulière, la question juridique à traiter était plus délicate. Au vu de l’ensemble de ces éléments, il convient de fixer l’indemnité de procédure due pour l’ensemble de la procédure cantonale à CHF 3'000.- et de ne pas percevoir</w:t>
      </w:r>
    </w:p>
    <w:p>
      <w:r>
        <w:t>- 4/5 - A/3740/2021 d’émolument, ni pour la procédure devant le TAPI ni pour celle devant la chambre de céans. 3. Conformément à la pratique de la chambre de céans, il ne sera pas perçu d'émolument, ni alloué d'indemnité de procédure pour le présent arrêt</w:t>
      </w:r>
    </w:p>
    <w:p>
      <w:r>
        <w:t>* * * * *</w:t>
      </w:r>
    </w:p>
    <w:p>
      <w:r>
        <w:rPr>
          <w:b/>
        </w:rPr>
        <w:t>E. 7</w:t>
      </w:r>
    </w:p>
    <w:p>
      <w:r>
        <w:t>février 2023 consid. 2.3 et les références citées).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(ATA/230/2022 du 1er mars 2022 consid. 2b ; ATA/1185/2018 du 6 novembre 2018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