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ATA/1022/2016 vom 6. Dezember 2016</w:t>
      </w:r>
    </w:p>
    <w:p>
      <w:r>
        <w:t>GE Cour de justice, 2016-12-06, FR</w:t>
      </w:r>
    </w:p>
    <w:p>
      <w:r>
        <w:rPr>
          <w:b/>
        </w:rPr>
        <w:t xml:space="preserve">Quelle: </w:t>
      </w:r>
      <w:r>
        <w:t>https://mcp.opencaselaw.ch/entscheid/ge_gerichte_ATA_1022_2016</w:t>
      </w:r>
    </w:p>
    <w:p>
      <w:r>
        <w:t>FR: GE_GERICHTE ATA/1022/2016 du 6 décembre 2016</w:t>
      </w:r>
    </w:p>
    <w:p>
      <w:r>
        <w:t>IT: GE_GERICHTE ATA/1022/2016 del 6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3</w:t>
      </w:r>
    </w:p>
    <w:p>
      <w:r>
        <w:t>La loi fédérale sur les étrangers du 16 décembre 2005 (LEtr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rPr>
          <w:b/>
        </w:rPr>
        <w:t>E. 4</w:t>
      </w:r>
    </w:p>
    <w:p>
      <w:r>
        <w:t>a. L’art. 30 al. 1 let. b LEtr permet de déroger aux conditions d’admission en Suisse, telles que prévues aux art. 18 à 29 LEtr, notamment aux fins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octobre 2013, état au 18 juillet 2016, n. 5.6.4).</w:t>
      </w:r>
    </w:p>
    <w:p>
      <w:r>
        <w:t>b. La jurisprudence développée sous l’empire de l’ancien droit, en vigueur jusqu’au 31 décembre 2007, au sujet des cas de rigueur (art. 13 let. f de l’ordonnance limitant le nombre des étrangers du 6 octobre 1986 -</w:t>
      </w:r>
    </w:p>
    <w:p>
      <w:r>
        <w:t>- 7/13 - A/2082/2015 aOLE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w:t>
      </w:r>
    </w:p>
    <w:p>
      <w:r>
        <w:rPr>
          <w:b/>
        </w:rPr>
        <w:t>E. 8</w:t>
      </w:r>
    </w:p>
    <w:p>
      <w:r>
        <w:t>Il ne ressort dès lors pas du dossier que l'exécution du renvoi de la recourante serait d'une autre façon impossible, illicite ou inexigible, si bien qu'une admission provisoire n'entre pas en ligne de compte.</w:t>
      </w:r>
    </w:p>
    <w:p>
      <w:r>
        <w:rPr>
          <w:b/>
        </w:rPr>
        <w:t>E. 9</w:t>
      </w:r>
    </w:p>
    <w:p>
      <w:r>
        <w:t>Mal fondé, le recours sera rejeté.</w:t>
      </w:r>
    </w:p>
    <w:p>
      <w:r>
        <w:t>- 11/13 - A/2082/2015</w:t>
      </w:r>
    </w:p>
    <w:p>
      <w:r>
        <w:rPr>
          <w:b/>
        </w:rPr>
        <w:t>E. 10</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