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ATA/1021/2017 vom 27. Juni 2017</w:t>
      </w:r>
    </w:p>
    <w:p>
      <w:r>
        <w:t>GE Cour de justice, 2017-06-27, FR</w:t>
      </w:r>
    </w:p>
    <w:p>
      <w:r>
        <w:rPr>
          <w:b/>
        </w:rPr>
        <w:t xml:space="preserve">Quelle: </w:t>
      </w:r>
      <w:r>
        <w:t>https://mcp.opencaselaw.ch/entscheid/ge_gerichte_ATA_1021_2017</w:t>
      </w:r>
    </w:p>
    <w:p>
      <w:r>
        <w:t>FR: GE_GERICHTE ATA/1021/2017 du 27 juin 2017</w:t>
      </w:r>
    </w:p>
    <w:p>
      <w:r>
        <w:t>IT: GE_GERICHTE ATA/1021/2017 del 27 giugno 2017</w:t>
      </w:r>
    </w:p>
    <w:p>
      <w:pPr>
        <w:pStyle w:val="Heading2"/>
      </w:pPr>
      <w:r>
        <w:t>Erwägungen</w:t>
      </w:r>
    </w:p>
    <w:p>
      <w:r>
        <w:rPr>
          <w:b/>
        </w:rPr>
        <w:t>E. 12</w:t>
      </w:r>
    </w:p>
    <w:p>
      <w:r>
        <w:t>septembre 1985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 3)</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La preuve de la notification d’un acte et de la date de celle-ci incombe en principe à l’autorité qui entend en tirer une conséquence juridique. L’autorité qui</w:t>
      </w:r>
    </w:p>
    <w:p>
      <w:r>
        <w:t>- 4/6 - A/1251/2017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 4)</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Toutefois,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le fait d’avoir été absent ou en vacances pendant la période de distribution ne constitue pas une telle circonstance.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w:t>
      </w:r>
    </w:p>
    <w:p>
      <w:r>
        <w:t>- 5/6 - A/1251/2017 tentative de notification d’une communication officielle à son adresse habituelle s’il devait s’attendre, avec une certaine vraisemblance, à recevoir une telle communication (ATF 134 V 49 consid. 4 ; ATF 130 III 396 consid. 1.2.3 p. 399 ; arrêt du Tribunal fédéral 1C_549/2009 du 1er mars 2010 consid. 3.2.1 et les références citées ; ATA/177/2015 du 6 octobre 2015 ; ATA/2653/2010 du 20 avril 2010).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6)</w:t>
      </w:r>
    </w:p>
    <w:p>
      <w:r>
        <w:t>En l’occurrence, le délai de paiement au 8 mai 2017 a été imparti au recourant par pli recommandé du 7 avril 2017. Le recourant, qui est censé avoir reçu la demande d’avance de frais le 19 avril 2017, vu le non-retrait du pli recommandé à l’échéance du délai de garde, n’a pas versé l’avance de frais au TAPI dans le délai imparti par cette juridiction. Le seul fait qu’il ait été en voyage pendant la période de notification du pli ne constitue pas un cas de restitution possible du délai, selon la jurisprudence ci-dessus. Dès lors, le TAPI était fondé à déclarer le recours irrecevable. Manifestement mal fondé, le recours sera ainsi rejeté sans acte d'instruction complémentaire, conformément à l'art. 72 LPA. 7)</w:t>
      </w:r>
    </w:p>
    <w:p>
      <w:r>
        <w:t>Malgré l'issue du litige et conformément à sa pratique, la chambre de céans renoncera à percevoir un émolument (art. 87 al. 1 LPA). Aucune indemnité de procédure ne sera allouée (art. 87 al. 2 LPA).</w:t>
      </w:r>
    </w:p>
    <w:p>
      <w:r>
        <w:t>- 6/6 - A/1251/2017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