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ATA/101/2018 vom 5. Februar 2018</w:t>
      </w:r>
    </w:p>
    <w:p>
      <w:r>
        <w:t>GE Cour de justice, 2018-02-05, FR</w:t>
      </w:r>
    </w:p>
    <w:p>
      <w:r>
        <w:rPr>
          <w:b/>
        </w:rPr>
        <w:t xml:space="preserve">Quelle: </w:t>
      </w:r>
      <w:r>
        <w:t>https://mcp.opencaselaw.ch/entscheid/ge_gerichte_ATA_101_2018</w:t>
      </w:r>
    </w:p>
    <w:p>
      <w:r>
        <w:t>FR: GE_GERICHTE ATA/101/2018 du 5 février 2018</w:t>
      </w:r>
    </w:p>
    <w:p>
      <w:r>
        <w:t>IT: GE_GERICHTE ATA/101/2018 del 5 febbraio 2018</w:t>
      </w:r>
    </w:p>
    <w:p>
      <w:pPr>
        <w:pStyle w:val="Heading2"/>
      </w:pPr>
      <w:r>
        <w:t>Erwägungen</w:t>
      </w:r>
    </w:p>
    <w:p>
      <w:r>
        <w:rPr>
          <w:b/>
        </w:rPr>
        <w:t>E. 28</w:t>
      </w:r>
    </w:p>
    <w:p>
      <w:r>
        <w:t>mars 2011 ; ATA/248/2009 du 19 mai 2009 consid. 3 ; ATA/213/2009 du</w:t>
      </w:r>
    </w:p>
    <w:p>
      <w:r>
        <w:rPr>
          <w:b/>
        </w:rPr>
        <w:t>E. 29</w:t>
      </w:r>
    </w:p>
    <w:p>
      <w:r>
        <w:t>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- 4/5 - A/5073/2017</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la procédure vise à faire constater que l'ouverture d'enquête administrative n'a pas été valablement prononcée et que la décision qui a été notifiée à M. A______, par le biais de l'avocat de la commune, n'en est pas une. Il ne s'agit du reste pas d'un recours proprement dit, si bien que l'on ne peut guère envisager une restitution de l'effet suspensif.</w:t>
      </w:r>
    </w:p>
    <w:p>
      <w:r>
        <w:t>À cet égard, il convient de relever que, contrairement à l’état de fait retenu prima facie dans l’ATA/1563/2017 du 5 décembre 2017 portant sur une demande identique visant un courrier de l’avocat de la commune adressé au demandeur dont il était d’entrée de cause douteux qu’il puisse être considéré comme une décision, il existe bien en l’espèce une décision émanant de la commune d’une part, et l’art. 57 du Règlement du personnel communal de la commune, du 21 avril 2016 (Rpers – LC 12 151) ne comporte pas les exigences formelles et matérielles alléguées par le demandeur, d’autre part. Ainsi, un examen prima facie ne permet pas de déceler d’emblée un motif de nullité de la décision en cause. 8)</w:t>
      </w:r>
    </w:p>
    <w:p>
      <w:r>
        <w:t>Le demandeur ne fait état d’aucune menace de dommage difficile à réparer, hormis l’impact sur sa vie professionnelle et le regard des collègues, éléments dont la chambre administrative a déjà jugé qu’ils ne constituaient pas un dommage irréparable (ATA/231/2013 du 22 février 2017 consid. 5 et les références citées). 9)</w:t>
      </w:r>
    </w:p>
    <w:p>
      <w:r>
        <w:t>Au vu de ce qui précède, la demande de mesures provisionnelles sera rejetée. 10) Le sort des frais sera réservé jusqu’à droit jugé au fond.</w:t>
      </w:r>
    </w:p>
    <w:p>
      <w:r>
        <w:t>vu les art. 21 et 66 al. 3 de la loi sur la procédure administrative du 12 septembre 1985 ;</w:t>
      </w:r>
    </w:p>
    <w:p>
      <w:r>
        <w:t>vu l’art. 9 al. 1 du règlement de la chambre administrative du 26 septembre 2017 ;</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- 5/5 - A/5073/2017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Robert Assael, avocat du recourant, ainsi qu'à Me Thomas Barth, avocat de commune de Chêne-Bougeries.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