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ATA/101/2008 vom 4. März 2008</w:t>
      </w:r>
    </w:p>
    <w:p>
      <w:r>
        <w:t>GE Cour de justice, 2008-03-04, FR</w:t>
      </w:r>
    </w:p>
    <w:p>
      <w:r>
        <w:rPr>
          <w:b/>
        </w:rPr>
        <w:t xml:space="preserve">Quelle: </w:t>
      </w:r>
      <w:r>
        <w:t>https://mcp.opencaselaw.ch/entscheid/ge_gerichte_ATA_101_2008</w:t>
      </w:r>
    </w:p>
    <w:p>
      <w:r>
        <w:t>FR: GE_GERICHTE ATA/101/2008 du 4 mars 2008</w:t>
      </w:r>
    </w:p>
    <w:p>
      <w:r>
        <w:t>IT: GE_GERICHTE ATA/101/2008 del 4 marzo 2008</w:t>
      </w:r>
    </w:p>
    <w:p>
      <w:pPr>
        <w:pStyle w:val="Heading2"/>
      </w:pPr>
      <w:r>
        <w:t>Erwägungen</w:t>
      </w:r>
    </w:p>
    <w:p>
      <w:r>
        <w:rPr>
          <w:b/>
        </w:rPr>
        <w:t>E. 1</w:t>
      </w:r>
    </w:p>
    <w:p>
      <w:r>
        <w:t>Interjeté en temps utile devant la juridiction compétente, le recours est recevable (art. 56A de la loi sur l’organisation judiciaire du 22 novembre 1941 -</w:t>
      </w:r>
    </w:p>
    <w:p>
      <w:r>
        <w:t>- 3/5 - A/5147/2007 LOJ - E 2 05 ; art. 63 al. 1 litt. a de la loi sur la procédure administrative du 12 septembre 1985 - LPA - E 5 10).</w:t>
      </w:r>
    </w:p>
    <w:p>
      <w:r>
        <w:rPr>
          <w:b/>
        </w:rPr>
        <w:t>E. 2</w:t>
      </w:r>
    </w:p>
    <w:p>
      <w:r>
        <w:t>Chacun doit respecter les signaux et les marques et, en particulier, les signaux fixant une vitesse maximale (art. 27 al. 1 LCR ; 16 et 22 de l’ordonnance sur la signalisation routière du 5 septembre 1979 - OSR - RS 741.21 ; ATF 108 IV 62).</w:t>
      </w:r>
    </w:p>
    <w:p>
      <w:r>
        <w:rPr>
          <w:b/>
        </w:rPr>
        <w:t>E. 3</w:t>
      </w:r>
    </w:p>
    <w:p>
      <w:r>
        <w:t>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 ATF 121 II 127, JdT 1995 I 664).</w:t>
      </w:r>
    </w:p>
    <w:p>
      <w:r>
        <w:t>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JdT 1997 I 733, consid. 1e, p. 737), sous réserve de circonstances particulières (ATF 123 II 106, JdT 1997 I 725, consid. 2b, pp. 728-729 et réf. cit.).</w:t>
      </w:r>
    </w:p>
    <w:p>
      <w:r>
        <w:t>Un dépassement de 21 à 24 km/h constitue, quant à lui, une infraction moyennement grave impliquant en règle générale un retrait de permis au sens de l’article 16b LCR.</w:t>
      </w:r>
    </w:p>
    <w:p>
      <w:r>
        <w:t>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JdT 1997 I 725, consid. 2c, p. 731 et réf. cit. ; ATF 123 II 37, consid. 1d, pp. 40-41, SJ 1997 pp. 527-528 ; ATA/382/1998 du 16 juin 1998).</w:t>
      </w:r>
    </w:p>
    <w:p>
      <w:r>
        <w:t>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SJ 1993 p. 535 ; ATF 118 IV 190 ; 108 Ib 67; 104 Ib 51).</w:t>
      </w:r>
    </w:p>
    <w:p>
      <w:r>
        <w:t>En l'espèce, le dépassement de la vitesse autorisée, au demeurant non contesté, a été de 23 km/h, après déduction de la marge de sécurité. Il se situe ainsi à la limite supérieure des cas moyennement graves saisis par l’article 16b alinéa 1 lettre a LCR. Par conséquent, c’est à juste titre que le SAN a prononcé une interdiction de circuler en Suisse à l’encontre du recourant, dès lors que</w:t>
      </w:r>
    </w:p>
    <w:p>
      <w:r>
        <w:t>- 4/5 - A/5147/2007 l’usage d’un permis de conduire étranger peut être interdit en vertu des dispositions qui s’appliquent au retrait du permis de conduire suisse (art. 45 OAC ; ATF 108 Ib 60-61).</w:t>
      </w:r>
    </w:p>
    <w:p>
      <w:r>
        <w:t>En application de l’article 16 b alinéa 2 lettre a LCR, le retrait du permis de conduire, respectivement l’interdiction de circuler en Suisse est d’une durée d’un mois au minimum, de telle sorte que la décision prise par le SAN respecte parfaitement la loi.</w:t>
      </w:r>
    </w:p>
    <w:p>
      <w:r>
        <w:rPr>
          <w:b/>
        </w:rPr>
        <w:t>E. 5</w:t>
      </w:r>
    </w:p>
    <w:p>
      <w:r>
        <w:t>En tous points mal fondé, le recours sera rejeté.</w:t>
      </w:r>
    </w:p>
    <w:p>
      <w:r>
        <w:t>Vu l’issue du litige,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