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ATA/101/2004 vom 27. Januar 2004</w:t>
      </w:r>
    </w:p>
    <w:p>
      <w:r>
        <w:t>GE Cour de justice, 2004-01-27, FR</w:t>
      </w:r>
    </w:p>
    <w:p>
      <w:r>
        <w:rPr>
          <w:b/>
        </w:rPr>
        <w:t xml:space="preserve">Quelle: </w:t>
      </w:r>
      <w:r>
        <w:t>https://mcp.opencaselaw.ch/entscheid/ge_gerichte_ATA_101_2004</w:t>
      </w:r>
    </w:p>
    <w:p>
      <w:r>
        <w:t>FR: GE_GERICHTE ATA/101/2004 du 27 janvier 2004</w:t>
      </w:r>
    </w:p>
    <w:p>
      <w:r>
        <w:t>IT: GE_GERICHTE ATA/101/2004 del 27 gennaio 2004</w:t>
      </w:r>
    </w:p>
    <w:p>
      <w:pPr>
        <w:pStyle w:val="Heading2"/>
      </w:pPr>
      <w:r>
        <w:t>Regeste</w:t>
      </w:r>
    </w:p>
    <w:p>
      <w:r>
        <w:t>Résumé: Rappel de la notion de domicile en matière fiscale, critères d'analyse. Litige jugé sous l'égide de l'ancien droit cantonal (article 3 aLCP).</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Au vu des pièces produites par la recourante, la question de la validité de la notification de la décision querellée peut demeurer ouverte.</w:t>
      </w:r>
    </w:p>
    <w:p>
      <w:r>
        <w:rPr>
          <w:b/>
        </w:rPr>
        <w:t>E. 3</w:t>
      </w:r>
    </w:p>
    <w:p>
      <w:r>
        <w:t>L'objet du litige porte sur les bordereaux rectificatifs des taxations ICC 1999 et 2000.</w:t>
      </w:r>
    </w:p>
    <w:p>
      <w:r>
        <w:rPr>
          <w:b/>
        </w:rPr>
        <w:t>E. 4</w:t>
      </w:r>
    </w:p>
    <w:p>
      <w:r>
        <w:t>Le 1er janvier 2001 est entrée en vigueur la nouvelle loi genevoise sur l'imposition des personnes physiques - LIPP, divisée désormais en quatre parties (LIPP-I, LITPP-II, LIPP-III et LIPP-IV) - qui a modifié ou abrogé la plupart des dispositions de la LCP.</w:t>
      </w:r>
    </w:p>
    <w:p>
      <w:r>
        <w:t>En vertu du principe de la non-rétroactivité, le nouveau droit ne s'applique pas aux faits antérieurs à sa mise en vigueur (P. MOOR, Droit administratif, vol. I,</w:t>
      </w:r>
    </w:p>
    <w:p>
      <w:r>
        <w:t>- 7 -</w:t>
      </w:r>
    </w:p>
    <w:p>
      <w:r>
        <w:t>1994, p. 170; B. KNAPP, Précis de droit administratif, 4e éd., Bâle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 cit., p. 118).</w:t>
      </w:r>
    </w:p>
    <w:p>
      <w:r>
        <w:t>En l'espèce, les nouvelles dispositions du droit fiscal genevois ne prévoient pas un effet rétroactif. Au contraire, l'article</w:t>
      </w:r>
    </w:p>
    <w:p>
      <w:r>
        <w:rPr>
          <w:b/>
        </w:rPr>
        <w:t>E. 6</w:t>
      </w:r>
    </w:p>
    <w:p>
      <w:r>
        <w:t>En l'espèce, il ressort du dossier que la recourante, au moment de son départ en juillet 1999, avait non seulement l'intention de quitter définitivement son domicile genevois, comme l'attestent les différentes</w:t>
      </w:r>
    </w:p>
    <w:p>
      <w:r>
        <w:t>- 8 -</w:t>
      </w:r>
    </w:p>
    <w:p>
      <w:r>
        <w:t>démarches entreprises, mais également qu'elle avait l'intention, objectivement reconnaissable par les tiers, de s'établir au côté de son ami à Dar es Salaam. La question de savoir si elle voulait, et/ou pouvait, y exercer une activité lucrative n'est pas déterminante. En effet, il est tout à fait envisageable de vouloir s'établir à un endroit, et d'y créer le centre de son existence, sans pour autant y exercer une telle activité, surtout lorsque l'on décide de vivre avec la personne avec laquelle des liens sentimentaux se sont instaurés. Certes, l'exercice d'une activité lucrative constitue un indice sérieux de la création d'un domicile, il n'en demeure pas moins qu'il ne forme pas une condition indispensable en ce domaine. Ce qui est important dans le cas présent, c'est que la recourante avait décidé de suivre son compagnon en Tanzanie tant et aussi longtemps qu'il y demeurerait. Il ressort à ce propos du dossier que le retour du couple à Genève n'était pas prévu, mais résultait de circonstances tout à fait fortuites.</w:t>
      </w:r>
    </w:p>
    <w:p>
      <w:r>
        <w:t>Il importe peu, par ailleurs, d'analyser les événements qui ont suivi la réaffectation du compagnon de la recourante à Genève. Ces derniers sont sans pertinence sur l'objet du litige.</w:t>
      </w:r>
    </w:p>
    <w:p>
      <w:r>
        <w:rPr>
          <w:b/>
        </w:rPr>
        <w:t>E. 7</w:t>
      </w:r>
    </w:p>
    <w:p>
      <w:r>
        <w:t>Au vu de ce qui précède, l'AFC a procédé à tort à la taxation de la recourante pour la période durant laquelle elle résidait en Tanzanie, le recours sera dès lors admis en ce qu'il conclut à l'annulation de la décision de la commission.</w:t>
      </w:r>
    </w:p>
    <w:p>
      <w:r>
        <w:t>Les conclusions de la recourante portant sur l'IFD, exorbitantes de l'objet du litige, ne sont quant à elles pas recevables.</w:t>
      </w:r>
    </w:p>
    <w:p>
      <w:r>
        <w:rPr>
          <w:b/>
        </w:rPr>
        <w:t>E. 8</w:t>
      </w:r>
    </w:p>
    <w:p>
      <w:r>
        <w:t>Le recours étant admis pour l'essentiel, aucun émolument ne sera perçu (art. 87 al. 1 LPA). Aucune indemnité ne sera par ailleurs allouée, faute de conclusions en ce sens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