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ATA/1018/2015 vom 29. September 2015</w:t>
      </w:r>
    </w:p>
    <w:p>
      <w:r>
        <w:t>GE Cour de justice, 2015-09-29, FR</w:t>
      </w:r>
    </w:p>
    <w:p>
      <w:r>
        <w:rPr>
          <w:b/>
        </w:rPr>
        <w:t xml:space="preserve">Quelle: </w:t>
      </w:r>
      <w:r>
        <w:t>https://mcp.opencaselaw.ch/entscheid/ge_gerichte_ATA_1018_2015</w:t>
      </w:r>
    </w:p>
    <w:p>
      <w:r>
        <w:t>FR: GE_GERICHTE ATA/1018/2015 du 29 septembre 2015</w:t>
      </w:r>
    </w:p>
    <w:p>
      <w:r>
        <w:t>IT: GE_GERICHTE ATA/1018/2015 del 29 settembre 2015</w:t>
      </w:r>
    </w:p>
    <w:p>
      <w:pPr>
        <w:pStyle w:val="Heading2"/>
      </w:pPr>
      <w:r>
        <w:t>Regeste</w:t>
      </w:r>
    </w:p>
    <w:p>
      <w:r>
        <w:t>Résumé: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w:t>
      </w:r>
    </w:p>
    <w:p>
      <w:pPr>
        <w:pStyle w:val="Heading2"/>
      </w:pPr>
      <w:r>
        <w:t>Erwägungen</w:t>
      </w:r>
    </w:p>
    <w:p>
      <w:r>
        <w:rPr>
          <w:b/>
        </w:rPr>
        <w:t>E. 12</w:t>
      </w:r>
    </w:p>
    <w:p>
      <w:r>
        <w:t>septembre 1985 - LPA - E 5 10 ; art. 7 al. 2 de la loi de procédure fiscale du 4 octobre 2001 - LPFisc - D 3 17). 2) a. Le litige fiscal concernant une période antérieure au 1er janvier 2010, se pose la question du droit applicable. La loi fédérale sur l’impôt fédéral direct du</w:t>
      </w:r>
    </w:p>
    <w:p>
      <w:r>
        <w:rPr>
          <w:b/>
        </w:rPr>
        <w:t>E. 14</w:t>
      </w:r>
    </w:p>
    <w:p>
      <w:r>
        <w:t>décembre 1990 (LIFD - RS 642.11)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 ATA/232/2014 du 8 avril 2014 ;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ATA/369/2015 du 21 avril 2015 ; ATA/307/2014 du 29 avril 2014).</w:t>
      </w:r>
    </w:p>
    <w:p>
      <w:r>
        <w:t>b. Le présent litige porte sur la procédure en rappel et en soustraction d’impôt ouverte en 2012, qui concerne les périodes fiscales 2003 et 2004. La cause est ainsi régie par le droit en vigueur durant cette période, à savoir respectivement les dispositions de la LIFD et celles de l’ancien droit cantonal, sous réserve de l’amende, pour laquelle le principe de la lex mitior s’applique le cas échéant. 3)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w:t>
      </w:r>
    </w:p>
    <w:p>
      <w:r>
        <w:t>- 17/25 - A/194/2014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w:t>
      </w:r>
    </w:p>
    <w:p>
      <w:r>
        <w:t>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w:t>
      </w:r>
    </w:p>
    <w:p>
      <w:r>
        <w:t>- 18/25 - A/194/2014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(ATA/369/2015 précité ; ATA/517/2014 du 1er juillet 2014).</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4)</w:t>
      </w:r>
    </w:p>
    <w:p>
      <w:r>
        <w:t>La casuistique en matière de rappel d’impôt est abondante.</w:t>
      </w:r>
    </w:p>
    <w:p>
      <w:r>
        <w:t>a. Les conditions du rappel d’impôt ont été considérées comme remplies dans le cas de contribuables pour lesquels de nombreux frais à caractère privé ont été passés en charge de l’activité commerciale, réduisant de la sorte le revenu imposable (arrêt du Tribunal fédéral 2C_132/2010 du 10 février 2010 confirmant l’ATA/657/2009 du 15 décembre 2009), de même que dans celui dans lequel un appartement a été comptabilisé comme servant à l’activité professionnelle alors qu’il était utilisé comme logement et qu’un contrôle fiscal opéré dans la comptabilité d’une société, dont le contribuable était l’administrateur et l’actionnaire, a mis en évidence une différence entre le total des sommes perçues et les montants comptabilisés (ATA/360/2011 du 7 juin 2011). Un motif de rappel</w:t>
      </w:r>
    </w:p>
    <w:p>
      <w:r>
        <w:t>- 19/25 - A/194/2014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des contribuables qui ont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ne découlant pas de manière évidente de l’état des participations et des prêts déposé par la contribuable, justifiait également rappel d’impôt, même si l’autorité fiscale pouvait soupçonner l’existence d’une telle simulation (arrêt du Tribunal fédéral 2C_533/2008 du 7 août 2009).</w:t>
      </w:r>
    </w:p>
    <w:p>
      <w:r>
        <w:t>b. À l’inverse, la réalisation des conditions du rappel d’impôt a été niée dans le cas du contribuable qui a déclaré sa participation déterminante assortie d’un revenu inexistant dans une société dont la valeur fiscale a été considérée comme nulle par l’autorité de taxation. Bien qu’ayant procédé à la réévaluation de la valeur fiscale de la société, cette dernière n’a entrepris aucune investigation complémentaire en relation avec le revenu de l’intéressé, situation à laquelle elle ne pouvait remédier au moyen du rappel d’impôt (arrêt du Tribunal fédéral 2A.706/2006 du 1er mars 2007). Il en est allé de même du contribuable ayant appliqué pendant des années une méthode erronée d’estimation pour la location de biens immobiliers avec l’aval, à tout le moins implicite, de l’autorité fiscale (ATA/307/2014 précité). Une affaire dans laquelle la contribuable retraitée a,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cas dans lequel un contribuable a bénéficié, sans les déclarer, d’avis de crédit importants sur un investissement et, après avoir déclaré celui-ci sans indiquer de rendement, a déclaré l’année suivante le même investissement pour un montant symbolique en ajoutant qu’il était probablement perdu, l’administrateur de fortune étant en détention préventive. Dans ces circonstances, l’autorité fiscale ne pouvait se fonder sur les seules indications du contribuable sans procéder à des recherches complémentaires (arrêt du Tribunal fédéral 2C_94/2010 du 10 février 2011). 5) a. Les personnes physiques sont assujetties à l’impôt à raison du rattachement personnel lorsque, au regard du droit fiscal, elles sont domiciliées ou séjournent en Suisse (art. 3 al. 1 LIFD ; art. 2 de la loi sur l’imposition des personnes physiques, objet de l’impôt, assujettissement à l’impôt, du 22 septembre 2000 -</w:t>
      </w:r>
    </w:p>
    <w:p>
      <w:r>
        <w:t>- 20/25 - A/194/2014 LIPP-I - D 3 11). L’assujettissement fondé sur un rattachement personnel est illimité, mais ne s’étend pas aux établissements stables et aux immeubles situés à l’étranger (art. 6 al. 1 LIFD ; art. 5 al. 1 LIPP-I). Cette exemption est inconditionnelle et existe indépendamment de l’imposition effective ou non de l’entreprise, de l’établissement ou de l’immeuble à l’étranger (Xavier OBERSON, Précis de droit fiscal international, 4ème éd., 2014, p. 97 n. 310).</w:t>
      </w:r>
    </w:p>
    <w:p>
      <w:r>
        <w:t>Les personnes physiques domiciliées en Suisse sont en principe imposables sur tous leurs revenus de source étrangère, dès l’instant où elles sont domiciliées en Suisse, de sorte que, en l’absence de convention de double imposition, les revenus tirés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cet État (ATA/381/2013 du</w:t>
      </w:r>
    </w:p>
    <w:p>
      <w:r>
        <w:rPr>
          <w:b/>
        </w:rPr>
        <w:t>E. 18</w:t>
      </w:r>
    </w:p>
    <w:p>
      <w:r>
        <w:t>juin 2013 ; Xavier OBERSON, Précis, op. cit., p. 98 n. 313), notions correspondant à celles mentionnées à l’art. 4 LIFD et qui sont également applicables aux établissements à l’étranger (ATF 139 II 78 consid. 2).</w:t>
      </w:r>
    </w:p>
    <w:p>
      <w:r>
        <w:t>b. L’art. 4 al. 2 LIFD définit ainsi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Droit fiscal suisse, 4ème éd., 2012,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en vue de gérer ses activités afin de lui reconnaître la stabilité nécessaire pour ne pas imposer ses revenus en Suisse (arrêt du Tribunal fédéral 2C_664/2013 du 28 avril 2014 consid. 4.3 ; ATA/798/2013 du 10 décembre 2013 ; ATA/381/2013 précité).</w:t>
      </w:r>
    </w:p>
    <w:p>
      <w:r>
        <w:t>c. Suivant leur type, les partenariats sont considérés, en droit privé suisse, comme des sociétés simples, des sociétés en nom collectif ou des sociétés en commandite et n’ont pas la personnalité juridique. N’étant pas des sujets fiscaux,</w:t>
      </w:r>
    </w:p>
    <w:p>
      <w:r>
        <w:t>- 21/25 - A/194/2014 ils sont traités comme fiscalement transparents, de sorte que leurs revenus sont attribués aux associés, pour autant qu’il s’agisse de personnes physiques. Lorsque le partenariat est étranger, il convient toutefois d’examiner s’il possède ou non la personnalité juridique, de manière à déterminer la façon dont doivent être alloués les revenus et la fortune découlant de son activité, cet examen devant se faire selon le droit applicable au regard de l’art. 154 de la loi fédérale sur le droit international privé du 18 décembre 1987 (LDIP - RS 291). Ce n’est que dans l’hypothèse où l’entité étrangère n’aurait pas la personnalité juridique que ses revenus seront alloués aux associés (arrêt du Tribunal fédéral 2C_664/2013 précité consid. 5.1). 6) a. En l’espèce, l’autorité recourante reproche au TAPI de ne pas avoir admis l’existence d’un motif de rappel d’impôt, alléguant n’avoir découvert qu’après l’entrée en force des taxations 2003 et 2004 que les déclarations des intimés étaient incomplètes, situation qui avait engendré une perte fiscale pour la collectivité. Elle se fonde en particulier sur le courrier de M. A______ du 20 mai 2010, aux termes duquel ce dernier explique que l’activité du partenariat n’avait pas nécessité la présence des associés à Chypre en 2005 et que Mme H______, qui dirigeait le bureau chypriote, « sous-trait[ait] des tâches d’assistance administrative », éléments qui n’avaient jusqu’alors pas été portés à sa connaissance et qui lui avaient permis, après des investigations supplémentaires, d’établir l’absence d’établissement stable à l’étranger.</w:t>
      </w:r>
    </w:p>
    <w:p>
      <w:r>
        <w:t>b. Il ressort de leurs déclarations fiscales pour les années 2003 et 2004 que les intimés ont mentionné, au titre des revenus de l’activité indépendante, un bénéfice découlant de l’activité auprès de la société genevoise « A______ B______ », sous le code « 1______ » correspondant à Genève, de CHF 217'354.- en 2003 et de CHF 0.- en 2004, ainsi qu’un bénéfice résultant de l’activité du partenariat « A______ B______ », sous le code « 2______ » relatif à Chypre, de CHF 724'366.- en 2003 et de CHF 360'197.- en 2004. Ils ont annexé à leurs déclarations les comptes commerciaux du partenariat pour les années correspondantes établis par Ernst &amp; Young SA, ainsi que le bilan de la société pour les années 2003 et 2004.</w:t>
      </w:r>
    </w:p>
    <w:p>
      <w:r>
        <w:t>Les intimés apparaissent ainsi avoir transmis à l’autorité de taxation tous les éléments factuels déterminants lui permettant d’établir leur taxation pour les années fiscales correspondantes, en particulier s’agissant du revenu de M. A______ tiré de son activité indépendante. L’AFC-GE a par conséquent non seulement disposé des indications figurant dans leurs déclarations, mais également de celles mentionnées dans les comptes du partenariat et le bilan de la société à cette fin. L’on ne saurait dès lors, de ce point de vue, reprocher aux intimés d’avoir rempli de manière lacunaire leurs déclarations fiscales 2003 et 2004.</w:t>
      </w:r>
    </w:p>
    <w:p>
      <w:r>
        <w:t>- 22/25 - A/194/2014</w:t>
      </w:r>
    </w:p>
    <w:p>
      <w:r>
        <w:t>c. L’autorité recourante soutient toutefois que celles-ci étaient incomplètes, en l’absence d’indications concernant le fonctionnement du partenariat y figurant et de la confusion volontairement apportée par les intimés à ce sujet.</w:t>
      </w:r>
    </w:p>
    <w:p>
      <w:r>
        <w:t>Elle ne saurait toutefois être suivie sur ces points. En effet, les documents annexés aux déclarations fiscales des intimés contenaient un certain nombre d’informations, même présentées de manière différente de celles résultant du courrier de M. A______ du 20 mai 2010. Les comptes audités du partenariat, qui indiquaient au demeurant l’activité à laquelle il se livrait, comportaient en particulier le poste « staff costs », de CHF 23'190.- en 2003 et de CHF 24'667.- en 2004, le nombre d’employé, en l’occurrence un seul, y étant expressément mentionné. La lecture de ces documents permettait ainsi déjà à l’AFC-GE de se rendre compte non seulement de l’existence d’un seul employé, mais également du salaire perçu par celui-ci, conformément aux indications figurant dans le courrier précité, même si la nature du travail de Mme H______ n’y était pas décrite, ce que l’AFC-GE pouvait au demeurant demander aux intimés, comme elle l’a fait dans son courrier du 15 avril 2010. Le fait que les associés n’aient été que peu présents à Chypre, comme l'a expliqué M. A______ dans sa lettre du</w:t>
      </w:r>
    </w:p>
    <w:p>
      <w:r>
        <w:rPr>
          <w:b/>
        </w:rPr>
        <w:t>E. 20</w:t>
      </w:r>
    </w:p>
    <w:p>
      <w:r>
        <w:t>mai 2010, qui ne concernait au demeurant que l’année 2005, n’apparaît quant à lui que peu déterminant, sauf à admettre l’existence d’un « ruling » ayant fixé une telle condition, ce qui n’apparaît toutefois pas avoir été le cas.</w:t>
      </w:r>
    </w:p>
    <w:p>
      <w:r>
        <w:t>L’on ne saurait davantage admettre l’existence d’une confusion volontairement induite par les intimés au sujet de la société genevoise et du partenariat chypriote, le rappel d’impôt n’étant au demeurant soumis qu’à des conditions objectives. En particulier, si les deux entités sont effectivement mentionnées dans les déclarations fiscales sous le même nom, cette situation résulte de leur incorporation, ces indications correspondent à leur raison sociale, étant précisé qu’elles se distinguent néanmoins par leur adresse. L’autorité recourante ne peut pas non plus tirer argument du fait que les comptes du partenariat, contrairement à ceux de la société, aient été révisés par une entreprise réputée et fait l’objet d’un rapport détaillé, dès lors que son examen ne devait pas se limiter à la forme des documents produits, sans prendre en compte leur contenu.</w:t>
      </w:r>
    </w:p>
    <w:p>
      <w:r>
        <w:t>Il en résulte qu’il ne peut être reproché aux intimés de ne pas avoir décrit les éléments de fait de manière objective.</w:t>
      </w:r>
    </w:p>
    <w:p>
      <w:r>
        <w:t>d. Les intimés ont certes indiqué, dans leurs déclarations d’impôt successives, le code « 2______ » correspondant à Chypre s’agissant du bénéfice réalisé par le partenariat, mention qui n’était, en soi, pas erronée, étant donné l’activité de celui-ci à l’étranger.</w:t>
      </w:r>
    </w:p>
    <w:p>
      <w:r>
        <w:t>En soutenant toutefois que cette indication a eu pour effet de qualifier le partenariat d’établissement stable, alors que la structure mise en place ne disposait</w:t>
      </w:r>
    </w:p>
    <w:p>
      <w:r>
        <w:t>- 23/25 - A/194/2014 pas de la substance nécessaire pour en remplir les conditions, l’autorité recourante omet une étape du raisonnement, consistant à qualifier, d’un point de vue juridique, le partenariat. Or, elle n’apparaît pas s’être livrée à une telle qualification lors des taxations initiales, s’étant contentée, ce faisant, d’établir les bordereaux, sans procéder à l’appréciation des éléments factuels lui ayant été communiqués par les intimés. Cette situation ne pouvait ainsi conduire, ultérieurement, à l’ouverture d’une procédure en rappel d’impôt, comme l’a, à juste titre, relevé le TAPI.</w:t>
      </w:r>
    </w:p>
    <w:p>
      <w:r>
        <w:t>Même si l’autorité fiscale doit pouvoir se fier à la déclaration d’impôt remise par les contribuables, l’AFC-GE n’en demeurait pas moins tenue de procéder à la qualification juridique de la structure qui lui était présentée en vue d’établir la taxation des intimés, son rôle ne se limitant pas à celui d’une chambre d’enregistrement, ce d’autant en présence d’éléments, pris dans leur ensemble, permettant d’arriver à une appréciation différente de celle des époux A______, tels que résultant de leurs déclarations fiscales. Il en va ainsi notamment de la structure de l’entité concernée, constituée sous la forme d’un partenariat soumis au droit étranger, incorporée dans un État dit « offshore », à Chypre, active dans le domaine des services et n’ayant qu’un employé, au salaire annuel de quelque CHF 25'000.-, et dont le bénéfice pour les périodes considérées, attribué à l’associé concerné, était largement supérieur à celui réalisé durant les mêmes périodes par la société genevoise.</w:t>
      </w:r>
    </w:p>
    <w:p>
      <w:r>
        <w:t>Face à de tels éléments, qui étaient connus de l’autorité recourante au moment d’établir les taxations initiales des années 2003 et 2004 et étaient facilement décelables et flagrants pour ne pas nécessiter un travail supplémentaire de sa part, l’AFC-GE devait solliciter des explications complémentaires de la part des intimés, comme elle l’a d’ailleurs fait, sans motif apparent, pour leur déclaration fiscale 2005, qui contenait les mêmes indications que celles précédemment transmises à l’autorité fiscale. Elle ne pouvait ainsi attendre l’entrée en force des bordereaux pour effectuer les reprises litigieuses, la procédure en rappel d’impôt n’ayant pas pour vocation, comme dans le cas présent, de parer au défaut d’attention des autorités fiscales, sous peine de porter irrémédiablement atteinte à la sécurité du droit.</w:t>
      </w:r>
    </w:p>
    <w:p>
      <w:r>
        <w:t>En alléguant que les premiers juges ont rendu deux jugements contradictoires, en référence à la cause ayant opposé la société à la recourante, cette dernière perd de vue que dans cette procédure, les taxations litigieuses étaient erronées et qu’au demeurant elle avait requis des renseignements complémentaires de la part de D______, dont la réponse était restée laconique. Le TAPI a en outre considéré que les éléments constitutifs objectifs et subjectifs de l’infraction de soustraction fiscale étaient réalisés, imputant une négligence à M. A______, alors que, comme précédemment mentionné, la procédure en rappel d’impôt n’est soumise qu’à des conditions objectives.</w:t>
      </w:r>
    </w:p>
    <w:p>
      <w:r>
        <w:t>- 24/25 - A/194/2014</w:t>
      </w:r>
    </w:p>
    <w:p>
      <w:r>
        <w:t>e. Il en découle que la procédure en rappel d’impôt était exclue, comme l’a, à juste titre, retenu le TAPI, dont le jugement sera ainsi confirmé. Il en va de même, par conséquent, s’agissant de la soustraction d’impôt. 7)</w:t>
      </w:r>
    </w:p>
    <w:p>
      <w:r>
        <w:t>Il s’ensuit que le recours sera rejeté. 8)</w:t>
      </w:r>
    </w:p>
    <w:p>
      <w:r>
        <w:t>Malgré l’issue du litige, aucun émolument ne sera mis à la charge de l’AFC-GE (art. 87 al. 1 LPA). Une indemnité de procédure de CHF 1'000.- sera allouée aux intimés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