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ATA/1016/2015 vom 29. September 2015</w:t>
      </w:r>
    </w:p>
    <w:p>
      <w:r>
        <w:t>GE Cour de justice, 2015-09-29, FR</w:t>
      </w:r>
    </w:p>
    <w:p>
      <w:r>
        <w:rPr>
          <w:b/>
        </w:rPr>
        <w:t xml:space="preserve">Quelle: </w:t>
      </w:r>
      <w:r>
        <w:t>https://mcp.opencaselaw.ch/entscheid/ge_gerichte_ATA_1016_2015</w:t>
      </w:r>
    </w:p>
    <w:p>
      <w:r>
        <w:t>FR: GE_GERICHTE ATA/1016/2015 du 29 septembre 2015</w:t>
      </w:r>
    </w:p>
    <w:p>
      <w:r>
        <w:t>IT: GE_GERICHTE ATA/1016/2015 del 29 settembre 2015</w:t>
      </w:r>
    </w:p>
    <w:p>
      <w:pPr>
        <w:pStyle w:val="Heading2"/>
      </w:pPr>
      <w:r>
        <w:t>Erwägungen</w:t>
      </w:r>
    </w:p>
    <w:p>
      <w:r>
        <w:rPr>
          <w:b/>
        </w:rPr>
        <w:t>E. 30</w:t>
      </w:r>
    </w:p>
    <w:p>
      <w:r>
        <w:t>mars 1911 (Livre cinquième : Droit des obligations - CO - RS 220), et notamment de l’art. 14 al. 1 CO, la forme écrite implique que la signature doit être écrite à la main par celui qui s’oblige.</w:t>
      </w:r>
    </w:p>
    <w:p>
      <w:r>
        <w:t>- 3/4 - A/1450/2015</w:t>
      </w:r>
    </w:p>
    <w:p>
      <w:r>
        <w:t>De jurisprudence constante, la signature olographe originale est une condition nécessaire que doit respecter tout acte pour être considéré comme un recours (ATA/649/2014 du 19 août 2014 ; ATA/98/2013 du 19 février 2013 et les références citées). 3)</w:t>
      </w:r>
    </w:p>
    <w:p>
      <w:r>
        <w:t>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 4)</w:t>
      </w:r>
    </w:p>
    <w:p>
      <w:r>
        <w:t>En l’espèce, le recours adressé à la chambre administrative le 11 août 2015 ne comportait pas de signature. Le recourant a été invité par pli recommandé du 21 août 2015 à rectifier ce vice en transmettant un acte de recours signé ou en se présentant au greffe de la chambre administrative pour le faire. Il a été rendu attentif aux conséquences de l’absence de respect de cette échéance pour ce faire. Le délai qui lui a été imparti au 14 septembre 2015 était raisonnable et correspondait au demeurant à l’échéance du délai de recours compte-tenu de la suspension légale du délai de recours du 15 juillet au 15 août (art. 63 al. 1 let. b LPA). Le recourant ne s’est pas exécuté. Force est de constater que l’acte de recours n’a pas été régularisé en temps utile, si bien que le recours doit être déclaré irrecevable, sans autre acte d’instruction (art. 72 LPA). 5)</w:t>
      </w:r>
    </w:p>
    <w:p>
      <w:r>
        <w:t>Compte-tenu de ce constat, il n’est point nécessaire d’aborder la question de la recevabilité du recours sous l’angle de son absence de motivation et de l’absence de complément fourni par le recourant sur ce point, comme cela lui avait été demandé. 6)</w:t>
      </w:r>
    </w:p>
    <w:p>
      <w:r>
        <w:t>Un émolument réduit de CHF 250.- sera mis à la charge du recourant, vu l’issue du recours (art. 87 al. 1 LPA). Aucune indemnité de procédure ne sera allouée.</w:t>
      </w:r>
    </w:p>
    <w:p>
      <w:r>
        <w:t>- 4/4 - A/1450/2015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