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ATA/1015/2017 vom 27. Juni 2017</w:t>
      </w:r>
    </w:p>
    <w:p>
      <w:r>
        <w:t>GE Cour de justice, 2017-06-27, FR</w:t>
      </w:r>
    </w:p>
    <w:p>
      <w:r>
        <w:rPr>
          <w:b/>
        </w:rPr>
        <w:t xml:space="preserve">Quelle: </w:t>
      </w:r>
      <w:r>
        <w:t>https://mcp.opencaselaw.ch/entscheid/ge_gerichte_ATA_1015_2017</w:t>
      </w:r>
    </w:p>
    <w:p>
      <w:r>
        <w:t>FR: GE_GERICHTE ATA/1015/2017 du 27 juin 2017</w:t>
      </w:r>
    </w:p>
    <w:p>
      <w:r>
        <w:t>IT: GE_GERICHTE ATA/1015/2017 del 27 giugno 2017</w:t>
      </w:r>
    </w:p>
    <w:p>
      <w:pPr>
        <w:pStyle w:val="Heading2"/>
      </w:pPr>
      <w:r>
        <w:t>Erwägungen</w:t>
      </w:r>
    </w:p>
    <w:p>
      <w:r>
        <w:rPr>
          <w:b/>
        </w:rPr>
        <w:t>E. 12</w:t>
      </w:r>
    </w:p>
    <w:p>
      <w:r>
        <w:t>septembre 1985 - LPA - E 5 10). 2)</w:t>
      </w:r>
    </w:p>
    <w:p>
      <w:r>
        <w:t>Selon l’art 10 al. 1 de la loi sur la navigation dans les eaux genevoises du</w:t>
      </w:r>
    </w:p>
    <w:p>
      <w:r>
        <w:rPr>
          <w:b/>
        </w:rPr>
        <w:t>E. 17</w:t>
      </w:r>
    </w:p>
    <w:p>
      <w:r>
        <w:t>mars 2006 (LNav - H 2 05), l’amarrage et le dépôt de bateaux dans les eaux genevoises et sur le domaine public, le long des rives, sont subordonnés à une autorisation « à bien plaire », personnelle et intransmissible.</w:t>
      </w:r>
    </w:p>
    <w:p>
      <w:r>
        <w:t>En vertu de l’art. 11 al. 1 LNav, ces autorisations ne sont délivrées que contre paiement d’un émolument administratif et d’une redevance annuelle.</w:t>
      </w:r>
    </w:p>
    <w:p>
      <w:r>
        <w:t>L’art 16 al. 1 LNav prévoit que le défaut de paiement de la redevance annuelle entraîne de plein droit la caducité de l’autorisation. 3)</w:t>
      </w:r>
    </w:p>
    <w:p>
      <w:r>
        <w:t>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ATA/19/2016 du 12 janvier 2016 et les références citées).</w:t>
      </w:r>
    </w:p>
    <w:p>
      <w:r>
        <w:t>- 4/5 - A/1409/2016 4)</w:t>
      </w:r>
    </w:p>
    <w:p>
      <w:r>
        <w:t>En l’espèce, le recourant a prouvé par pièce avoir, dès qu’il a réalisé la situation – et avant même d’interjeter recours –, réglé la somme qui lui était demandée. En outre, rien dans le dossier n’indique qu’il n’aurait pas, jusqu’alors, toujours réglé les sommes demandées par la capitainerie dans le délai, ce qui tend à corroborer ses explications selon lesquelles son omission d’annoncer son changement d’adresse de facturation et donc la non-réception de la facture et des rappels était due à des circonstances exceptionnelles et particulières, le changement d’adresse professionnelle étant attesté par pièces.</w:t>
      </w:r>
    </w:p>
    <w:p>
      <w:r>
        <w:t>Dès lors, si la décision litigieuse constitue une application stricte et rigide de la législation citée ci-dessus, elle ne respecte pas le principe de la proportionnalité (dans le même sens, pour des cas présentant des similitudes avec la présente cause, ATA/497/2017 du 2 mai 2017 ; ATA/922/2016 du 1er novembre 2016 ; ATA/923/2016 du 1er novembre 2016 ; ATA/924/2016 du 1er novembre 2016).</w:t>
      </w:r>
    </w:p>
    <w:p>
      <w:r>
        <w:t>L’attention de l’intéressé sera toutefois très fermement attirée sur le fait qu’il devra, à l’avenir, honorer la taxe d’amarrage strictement dans le délai ressortant des factures qu’il reçoit, à défaut de quoi la place d’amarrage dont il bénéficie lui sera retirée. 5)</w:t>
      </w:r>
    </w:p>
    <w:p>
      <w:r>
        <w:t>Au vu de ce qui précède, le recours sera admis et la décision litigieuse annulée.</w:t>
      </w:r>
    </w:p>
    <w:p>
      <w:r>
        <w:t>Aucune indemnité ne sera allouée au recourant, qui n’y a pas conclu et n’a pas exposé de frais, et aucun émolument de procédure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