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ATA/1015/2015 vom 29. September 2015</w:t>
      </w:r>
    </w:p>
    <w:p>
      <w:r>
        <w:t>GE Cour de justice, 2015-09-29, FR</w:t>
      </w:r>
    </w:p>
    <w:p>
      <w:r>
        <w:rPr>
          <w:b/>
        </w:rPr>
        <w:t xml:space="preserve">Quelle: </w:t>
      </w:r>
      <w:r>
        <w:t>https://mcp.opencaselaw.ch/entscheid/ge_gerichte_ATA_1015_2015</w:t>
      </w:r>
    </w:p>
    <w:p>
      <w:r>
        <w:t>FR: GE_GERICHTE ATA/1015/2015 du 29 septembre 2015</w:t>
      </w:r>
    </w:p>
    <w:p>
      <w:r>
        <w:t>IT: GE_GERICHTE ATA/1015/2015 del 29 settembre 2015</w:t>
      </w:r>
    </w:p>
    <w:p>
      <w:pPr>
        <w:pStyle w:val="Heading2"/>
      </w:pPr>
      <w:r>
        <w:t>Erwägungen</w:t>
      </w:r>
    </w:p>
    <w:p>
      <w:r>
        <w:rPr>
          <w:b/>
        </w:rPr>
        <w:t>E. 12</w:t>
      </w:r>
    </w:p>
    <w:p>
      <w:r>
        <w:t>septembre 1985 - LPA - E 5 10). 2) a. Le recourant sollicite la tenue d'une audience de comparution personnelle des parties.</w:t>
      </w:r>
    </w:p>
    <w:p>
      <w:r>
        <w:t>b. La procédure administrative est en principe écrite, toutefois si le règlement et la nature de l’affaire le requièrent, l’autorité peut procéder oralement (art. 18 LPA).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w:t>
      </w:r>
    </w:p>
    <w:p>
      <w:r>
        <w:t>- 6/11 - A/792/2014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précité consid. 5.3 ; arrêt du Tribunal fédéral 2D_5/2012 du 19 avril 2012 consid. 2.3 et les arrêts cités ; ATA/24/2014 du 14 janvier 2014 ; ATA/305/2013 du 14 mai 2013).</w:t>
      </w:r>
    </w:p>
    <w:p>
      <w:r>
        <w:t>c. En l’espèce, l'audition requise par le recourant ne se justifie pas. En effet, ce dernier a eu l’occasion de s’exprimer par écrit à de nombreuses reprises durant la procédure, tant devant le TAPI que devant la chambre de céans, et d’exposer son point de vue, ainsi que de produire toutes les pièces qu’il estimait utiles à l’appui de ses allégués. L’autorité intimée a répondu à ses écritures, se prononçant sur les griefs qu’elle estimait pertinents pour l’issue du litige, et le recourant ayant eu l’occasion de répliquer. Une comparution personnelle des parties ne saurait ainsi apporter d'éléments supplémentaires indispensables permettant à la chambre de céans de trancher le litige, le dossier étant suffisant pour ce faire. 3) a. Dans un autre grief lié à la violation du droit d'être entendu, le recourant se plaint de la motivation juridique nouvelle du TAPI par rapport à la décision de l'OCIRT.</w:t>
      </w:r>
    </w:p>
    <w:p>
      <w:r>
        <w:t>b. À cet égard, s'il est vrai que le TAPI a examiné en premier lieu la violation du principe de priorité et a indiqué que l'examen des autres conditions légales était superfétatoire, il n'y a pas moins procédé. Dès lors, dans la mesure où une double motivation judiciaire doit faire l'objet d'une double réfutation par le recourant (ATF 138 I 97 consid. 4.1.4 ; arrêt du Tribunal fédéral 1C_304/2015 du 15 juin 2015 consid. 2.3), ce grief ne sera, exceptionnellement, examiné le cas échéant que dans un deuxième temps, c'est-à-dire après constatation éventuelle de la contrariété au droit de la motivation du TAPI relative aux directives LEtr.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w:t>
      </w:r>
    </w:p>
    <w:p>
      <w:r>
        <w:t>- 7/11 - A/792/2014 5) a. Tout étranger qui entend exercer en Suisse une activité lucrative doit être titulaire d’une autorisation, quelle que soit la durée de son séjour. Il doit la solliciter auprès de l’autorité compétente du lieu de travail envisagé (art. 11 al. 1 LEtr). La demande d’autorisation doit être déposée par l’employeur (art. 11 al. 3 LEtr).</w:t>
      </w:r>
    </w:p>
    <w:p>
      <w:r>
        <w:t>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du 24 octobre 2007 - OASA - RS 142.201). 6)</w:t>
      </w:r>
    </w:p>
    <w:p>
      <w:r>
        <w:t>Dans le canton de Genève, le département de la sécurité et de l’économie est l’autorité compétente en matière de police des étrangers, compétence qu’il peut déléguer à l’OCPM (art. 1 al. 1 et art.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w:t>
      </w:r>
    </w:p>
    <w:p>
      <w:r>
        <w:t>L’OCIRT prend sa décision à la suite d’un préavis de la commission tripartite pour l’économie instaurée par l’art. 16 al. 2 de la loi sur le service de l’emploi et la location de services du 18 septembre 1992 (LSELS - J 2 05) dont la compétence est réservée (art. 17A al. 3 LIRT et 23B al. 5 du règlement d’exécution de la loi sur le service de l’emploi et la location de services du</w:t>
      </w:r>
    </w:p>
    <w:p>
      <w:r>
        <w:rPr>
          <w:b/>
        </w:rPr>
        <w:t>E. 14</w:t>
      </w:r>
    </w:p>
    <w:p>
      <w:r>
        <w:t>décembre 1992 - RSELS - J 2 05.01). 7)</w:t>
      </w:r>
    </w:p>
    <w:p>
      <w:r>
        <w:t>De même que les décisions de l’OCPM, celles de l’OCIRT peuvent faire l’objet d’un recours auprès du TAPI avant de pouvoir être déférées à la chambre administrative (art. 3 LaLEtr). 8) a. Conformément à l'art. 18 LEtr,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 intérêts économiques du pays » est formulée de façon ouverte. Elle vise en premier lieu le domaine du marché du travail (cf. Message du Conseil fédéral du 8 mars 2002 concernant la loi sur les étrangers, FF 2002 p. 3469 ss, spéc. p. 3485 ss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w:t>
      </w:r>
    </w:p>
    <w:p>
      <w:r>
        <w:t>- 8/11 - A/792/2014 certain domaine d'activité, il existe une demande durable à laquelle la main- d'œuvre étrangère en cause est susceptible de répondre sur le long terme (ATAF C-6074/2010 du 19 avril 2011 consid. 4.1 et les références citées).</w:t>
      </w:r>
    </w:p>
    <w:p>
      <w:r>
        <w:t>b. L'art. 18 LEtr étant rédigé en la forme potestative, les autorités compétentes bénéficient d'un large pouvoir d'appréciation (arrêts du Tribunal administratif fédéral C-5912/2011 du 26 août 2015 consid. 7.2 ; C-6074/2010 du</w:t>
      </w:r>
    </w:p>
    <w:p>
      <w:r>
        <w:rPr>
          <w:b/>
        </w:rPr>
        <w:t>E. 19</w:t>
      </w:r>
    </w:p>
    <w:p>
      <w:r>
        <w:t>avril 2011 consid. 4.2). 9) a. Le SEM a précisé les dispositions précitées dans les directives LEtr, conformément à l'art. 89 OASA.</w:t>
      </w:r>
    </w:p>
    <w:p>
      <w:r>
        <w:t>b. En règle générale, les instructions, les circulaires et les directives administratives - ou, en d'autres termes, les ordonnances administratives - n'ont, selon la jurisprudence et la doctrine, pas force de loi (ATF 121 II 473 consid. 2b p. 478 ; ATA/87/2015 du 20 janvier 2015 consid. 7a ; ATA/563/2012 du</w:t>
      </w:r>
    </w:p>
    <w:p>
      <w:r>
        <w:rPr>
          <w:b/>
        </w:rPr>
        <w:t>E. 21</w:t>
      </w:r>
    </w:p>
    <w:p>
      <w:r>
        <w:t>août 2012 consid. 14 ; ATA/439/2009 du 8 septembre 2009 et les références citées).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ATA/87/2015 précité consid. 7a ; ATA/12/2012 du 10 janvier 2012 consid. 3 ; ATA/839/2003 du 18 novembre 2003 consid. 3c).</w:t>
      </w:r>
    </w:p>
    <w:p>
      <w:r>
        <w:t>c. La chambre de céans s'est ainsi déjà référée à de multiples reprises aux directives du SEM en matière d'accès au marché du travail (ATA/940/2015 du 15 septembre 2015 consid. 7 ; ATA/996/2014 du 16 décembre 2014 consid. 6 ; ATA/651/2014 du 19 août 2014 ; ATA/69/2012 du 31 janvier 2012). 10) a. L'engagement de sportifs et d'entraîneurs professionnels est prévu par la section 4.7.11 des directives LEtr. Est considérée comme activité lucrative avec prise d’emploi l’engagement d’un étranger par un club sportif en vue de la participation à un championnat (ch. 4.7.11.1). Une autorisation n’est octroyée que lorsque l’équipe joue dans l’une des deux ligues supérieures (par exemple en football la Super et la Challenge League, etc.) ; il est donc exclu d’admettre des ressortissants d’un État non membre de l’UE ou de l'AELE comme membre ou entraîneur d’une équipe de ligue inférieure (1 à 5) (ch. 4.7.11.2.1). Les travailleurs ressortissants d’un pays non membre de l'UE ou de l'AELE ne peuvent être admis en qualité de membre ou d’entraîneur d’équipes juniors ou seniors (ibid.).</w:t>
      </w:r>
    </w:p>
    <w:p>
      <w:r>
        <w:t>b. Le club sportif doit verser un salaire adapté au niveau de vie en Suisse et conforme à la pratique dans la localité et la profession, conformément à l'art. 22 LEtr (ch. 4.7.11.2.3).</w:t>
      </w:r>
    </w:p>
    <w:p>
      <w:r>
        <w:t>- 9/11 - A/792/2014</w:t>
      </w:r>
    </w:p>
    <w:p>
      <w:r>
        <w:t>c. Les directives qui précèdent précisent les dispositions de la LEtr, en particulier les notions indéterminées qui y sont utilisées, dans le domaine spécifique du sport. Elles effectuent ainsi une pesée d'intérêts entre la nécessité de limiter le nombre d'autorisations, prévue par la LEtr, et la mobilité qui doit prévaloir dans le sport de haut niveau, en limitant l'octroi d'autorisations aux entraîneurs des équipes des deux meilleurs niveaux au plan national. Elles ne contredisent ainsi ni le sens ni le but de la LEtr. 11) En l'espèce, l'équipe féminine du club n'est pas en ligue nationale A ou B, ni même en première ligue, mais en deuxième ligue, soit une division de niveau régional. De plus, les conditions salariales proposées, même en y incluant les prestations en nature décrites par le club, ne peuvent pas être tenues pour conformes à la pratique genevoise. L'OCIRT n'a donc pas abusé de son pouvoir d'appréciation en refusant pour ces motifs de rendre une décision préalable favorable. 12) Au vu de ce qui précède, le recours sera rejeté, sans qu'il soit nécessaire d'examiner le grief de la violation du droit d'être entendu en lien avec la motivation juridique nouvelle. 13) 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