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ATA/1014/2017 vom 27. Juni 2017</w:t>
      </w:r>
    </w:p>
    <w:p>
      <w:r>
        <w:t>GE Cour de justice, 2017-06-27, FR</w:t>
      </w:r>
    </w:p>
    <w:p>
      <w:r>
        <w:rPr>
          <w:b/>
        </w:rPr>
        <w:t xml:space="preserve">Quelle: </w:t>
      </w:r>
      <w:r>
        <w:t>https://mcp.opencaselaw.ch/entscheid/ge_gerichte_ATA_1014_2017</w:t>
      </w:r>
    </w:p>
    <w:p>
      <w:r>
        <w:t>FR: GE_GERICHTE ATA/1014/2017 du 27 juin 2017</w:t>
      </w:r>
    </w:p>
    <w:p>
      <w:r>
        <w:t>IT: GE_GERICHTE ATA/1014/2017 del 27 giugno 2017</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 a. Aux termes de l’art. 30 al. 1 let. b LEtr,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w:t>
      </w:r>
    </w:p>
    <w:p>
      <w:r>
        <w:t>- 7/11 - A/1386/2016</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w:t>
      </w:r>
    </w:p>
    <w:p>
      <w:r>
        <w:t>e. Au début de l’année 2017, le canton de Genève a développé un projet appelé « opération papyrus » (cf. https://demain.ge.ch/dossier/operation-papyrus consulté le 10 juin 2017) visant à régulariser la situation des personnes bien intégrées et répondant aux critères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indépendance financière complète.</w:t>
      </w:r>
    </w:p>
    <w:p>
      <w:r>
        <w:t>Interpellé par une conseillère nationale à l’heure des questions le 27 février 2017, le conseil fédéral a précisé que, dans le cadre du projet pilote « papyrus », le SEM avait procédé à une concrétisation des critères légaux en vigueur pour l’examen</w:t>
      </w:r>
    </w:p>
    <w:p>
      <w:r>
        <w:t>- 8/11 - A/1386/2016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(cf. https://www.parlament.ch/en/ratsbetrieb/suche-curia- vista/geschaeft? AffairId=20175000 consulté le 10 juin 2017).</w:t>
      </w:r>
    </w:p>
    <w:p>
      <w:r>
        <w:t>Le document « Opération Papyrus, Conditions et procédure pour le dépôt d’une demande de normalisation » du mois de février 2017 (téléchargé le 21 juin 2017 à l’adresse https://demain.ge.ch/document/brochure-papyrus/telecharger), indique les documents à produire, dont « original du casier judiciaire fédéral vierge (exception article 115 LEtr) ». 4)</w:t>
      </w:r>
    </w:p>
    <w:p>
      <w:r>
        <w:t>En l’espèce, le recourant ne remplit pas l’ensemble des conditions rappelées ci-dessus.</w:t>
      </w:r>
    </w:p>
    <w:p>
      <w:r>
        <w:t>En ce qui concerne les condamnations pénales, il est établi qu’il a utilisé – certes à la frontière kosovare – un faux permis d’établissement en Suisse, faits pour lesquels une condamnation a été prononcée dans son pays d’origine. Cette condamnation ne peut être écartée, ainsi que pourrait éventuellement l’être celle concernant des infractions à l’art. 115 LEtr, même si elle n’a pas été prononcée en Suisse et qu’elle a près de dix ans.</w:t>
      </w:r>
    </w:p>
    <w:p>
      <w:r>
        <w:t>Cet élément démontre en lui-même que l’intégration du recourant n’est pas satisfaisante, et que, en conséquence, les conditions des art. 30 al. 1 let b LEtr et 31 al. 1 OASA ne sont pas réalisées. 5) a. Selon l’art. 64 al. 1 let. c LEtr, les autorités compétentes rendent une décision de renvoi ordinaire à l’encontre d’un étranger auquel l’autorisation de séjour est refusée ou dont l’autorisation n’est pas prolongée.</w:t>
      </w:r>
    </w:p>
    <w:p>
      <w:r>
        <w:t>L’exécution du renvoi d’un étranger ne peut être ordonnée que si elle est possible, licite et peut être raisonnablement exigée (art. 83 al. 1 LEtr). Elle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le renvoi met concrètement en danger l’étranger, par exemple en cas de guerre, de guerre civile, de violence généralisée ou de nécessité médicale (art. 83 al. 4 LEtr).</w:t>
      </w:r>
    </w:p>
    <w:p>
      <w:r>
        <w:t>- 9/11 - A/1386/2016</w:t>
      </w:r>
    </w:p>
    <w:p>
      <w:r>
        <w:t>b. En l’espèce, le recourant n’a jamais allégué que son retour au Kosovo serait impossible, illicite ou inexigible au regard de l’art. 83 LEtr, le dossier ne laissant pas apparaître d’éléments qui tendraient à démontrer le contraire. C’est ainsi à juste titre que l’exécution de son renvoi a été prononcée, étant précisé que les difficultés économiques invoquées par le recourant ne rendent pas l’exécution du renvoi impossible ou inexigible, au sens de la législation pertinente. 6)</w:t>
      </w:r>
    </w:p>
    <w:p>
      <w:r>
        <w:t>Au vu de ce qui précède, l’OCPM n’a ni excédé ni abusé de son pouvoir d’appréciation en refusant de renouveler l’autorisation de séjour du recourant. C'est ainsi à juste titre que le TAPI a confirmé la décision litigieuse.</w:t>
      </w:r>
    </w:p>
    <w:p>
      <w:r>
        <w:t>Le recours sera ainsi rejeté. 7)</w:t>
      </w:r>
    </w:p>
    <w:p>
      <w:r>
        <w:t>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