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ATA/1009/2016 vom 29. November 2016</w:t>
      </w:r>
    </w:p>
    <w:p>
      <w:r>
        <w:t>GE Cour de justice, 2016-11-29, FR</w:t>
      </w:r>
    </w:p>
    <w:p>
      <w:r>
        <w:rPr>
          <w:b/>
        </w:rPr>
        <w:t xml:space="preserve">Quelle: </w:t>
      </w:r>
      <w:r>
        <w:t>https://mcp.opencaselaw.ch/entscheid/ge_gerichte_ATA_1009_2016</w:t>
      </w:r>
    </w:p>
    <w:p>
      <w:r>
        <w:t>FR: GE_GERICHTE ATA/1009/2016 du 29 novembre 2016</w:t>
      </w:r>
    </w:p>
    <w:p>
      <w:r>
        <w:t>IT: GE_GERICHTE ATA/1009/2016 del 29 novembre 2016</w:t>
      </w:r>
    </w:p>
    <w:p>
      <w:pPr>
        <w:pStyle w:val="Heading2"/>
      </w:pPr>
      <w:r>
        <w:t>Erwägungen</w:t>
      </w:r>
    </w:p>
    <w:p>
      <w:r>
        <w:rPr>
          <w:b/>
        </w:rPr>
        <w:t>E. 1</w:t>
      </w:r>
    </w:p>
    <w:p>
      <w:r>
        <w:t>Interjeté en temps utile devant la juridiction compétente, le recours est recevable (art. 11 de la loi d’application de la LAVI du 11 février 2011 - LaLAVI - J 4 10 ;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de l’instance LAVI refusant à la recourante une indemnité pour tort moral suite aux événements s'étant produits à la prison le 2 août 2010.</w:t>
      </w:r>
    </w:p>
    <w:p>
      <w:r>
        <w:rPr>
          <w:b/>
        </w:rPr>
        <w:t>E. 3</w:t>
      </w:r>
    </w:p>
    <w:p>
      <w:r>
        <w:t>L'infraction pénale comme la demande de prise en charge étant postérieures à l'entrée en vigueur de la LAVI le 1er janvier 2009, c'est cette dernière qui s'applique et non l'ancien droit (art. 48 LAVI).</w:t>
      </w:r>
    </w:p>
    <w:p>
      <w:r>
        <w:rPr>
          <w:b/>
        </w:rPr>
        <w:t>E. 4</w:t>
      </w:r>
    </w:p>
    <w:p>
      <w:r>
        <w:t>a. La LAVI révisée poursuit le même objectif que la loi l'ayant précédée, à savoir assurer aux victimes une réparation effective et suffisante dans un délai raisonnable (Message du Conseil fédéral concernant l’aLAVI du 25 avril 1990, FF 1990 V II p. 909 ss, not. 923 ss ; ATF 134 II 308 consid. 5.5 p. 313 ; arrêt du Tribunal fédéral 1C_571/2011 du 26 juin 2012 consid. 4.2). Elle maintient notamment les trois « piliers » de l'aide aux victimes, soit les conseils, les droits dans la procédure pénale et l'indemnisation, y compris la réparation morale (Message du Conseil fédéral du 9 novembre 2005, FF 2005 6701).</w:t>
      </w:r>
    </w:p>
    <w:p>
      <w:r>
        <w:t>b. À teneur de l'art. 1 al. 1 LAVI, toute personne qui a subi, du fait d'une infraction, une atteinte directe à son intégrité physique, psychique ou sexuelle a droit au soutien prévu par la loi. Le troisième alinéa de cette disposition précise que le droit à l'aide aux victimes existe, que l'auteur de l'infraction ait été découvert ou non (let. a), ait eu un comportement fautif ou non (let. b), ait agi intentionnellement ou par négligence (let. c).</w:t>
      </w:r>
    </w:p>
    <w:p>
      <w:r>
        <w:t>c. La reconnaissance de la qualité de victime au sens de la LAVI dépend de savoir, d’une part, si la personne concernée a subi une atteinte à son intégrité physique, psychique ou sexuelle et, d’autre part, si cette atteinte a été directement causée par une infraction au sens du droit pénal suisse. La qualité de victime au sens de la LAVI ne se confond donc pas avec celle de lésé, dès lors que certaines infractions n’entraînent pas d’atteintes – ou pas d'atteintes suffisamment importantes – à l’intégrité physique, psychique ou sexuelle (ATF 120 Ia 157</w:t>
      </w:r>
    </w:p>
    <w:p>
      <w:r>
        <w:t>- 8/13 - A/3125/2015 consid. 2d ; ATA/973/2015 du 22 septembre 2015 consid. 3c ; ATA/699/2014 du 2 septembre 2014 consid. 3c).</w:t>
      </w:r>
    </w:p>
    <w:p>
      <w:r>
        <w:rPr>
          <w:b/>
        </w:rPr>
        <w:t>E. 5</w:t>
      </w:r>
    </w:p>
    <w:p>
      <w:r>
        <w:t>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 La réparation morale constitue désormais un droit (Message du Conseil fédéral du</w:t>
      </w:r>
    </w:p>
    <w:p>
      <w:r>
        <w:rPr>
          <w:b/>
        </w:rPr>
        <w:t>E. 9</w:t>
      </w:r>
    </w:p>
    <w:p>
      <w:r>
        <w:t>Vu la nature de la cause, aucun émolument ne sera prélevé (art. 87 al. 1 LPA et art. 30 al. 1 LAVI ; ATF 141 IV 262 consid. 2.2) Vu l'issue du litige, aucune indemnité de procédure ne sera allouée (art. 87 al. 2 LPA).</w:t>
      </w:r>
    </w:p>
    <w:p>
      <w:r>
        <w:t>* * * * *</w:t>
      </w:r>
    </w:p>
    <w:p>
      <w:r>
        <w:t>- 12/13 - A/3125/2015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