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ATA/1005/2017 vom 27. Juni 2017</w:t>
      </w:r>
    </w:p>
    <w:p>
      <w:r>
        <w:t>GE Cour de justice, 2017-06-27, FR</w:t>
      </w:r>
    </w:p>
    <w:p>
      <w:r>
        <w:rPr>
          <w:b/>
        </w:rPr>
        <w:t xml:space="preserve">Quelle: </w:t>
      </w:r>
      <w:r>
        <w:t>https://mcp.opencaselaw.ch/entscheid/ge_gerichte_ATA_1005_2017</w:t>
      </w:r>
    </w:p>
    <w:p>
      <w:r>
        <w:t>FR: GE_GERICHTE ATA/1005/2017 du 27 juin 2017</w:t>
      </w:r>
    </w:p>
    <w:p>
      <w:r>
        <w:t>IT: GE_GERICHTE ATA/1005/2017 del 27 giugno 2017</w:t>
      </w:r>
    </w:p>
    <w:p>
      <w:pPr>
        <w:pStyle w:val="Heading2"/>
      </w:pPr>
      <w:r>
        <w:t>Erwägungen</w:t>
      </w:r>
    </w:p>
    <w:p>
      <w:r>
        <w:rPr>
          <w:b/>
        </w:rPr>
        <w:t>E. 12</w:t>
      </w:r>
    </w:p>
    <w:p>
      <w:r>
        <w:t>septembre 1985 - LPA - E 5 10). 2)</w:t>
      </w:r>
    </w:p>
    <w:p>
      <w:r>
        <w:t>Le recourant se prévaut d’une violation du principe de la bonne foi et de la garantie des droits acquis découlant de la convention.</w:t>
      </w:r>
    </w:p>
    <w:p>
      <w:r>
        <w:t>La conformité de l’ancien art. 23A LTrait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w:t>
      </w:r>
    </w:p>
    <w:p>
      <w:r>
        <w:t>- 6/8 - A/3097/2015 art. 23A LTrait ou d’assurance donnée à l’occasion d’un engagement individuel en leur faveur. À cet égard, le recourant se méprend sur la portée de la convention. Il ressort de sa teneur sans équivoque qu’il est demeuré fonctionnaire au sein des HUG, partant, soumis à la LPAC, et que sa classe de fonction n’a pas changé. Son traitement n’a pas été modifié dans sa composition ni dans son montant. C’était manifestement l’un des but de cette convention, puisque le poste qu’il reprenait ad interim dépendait d’un autre établissement public médical - soumis à la loi sur les établissements publics médicaux du 19 septembre 1980 (LEPM - K 2 05) - et était colloqué deux classes en dessous de la sienne. L’application ordinaire des dispositions légales en cas de changement d’employeur public aurait en effet notamment eu comme conséquence la perte du statut de fonctionnaire et de deux classes de traitement. Dans ce contexte, la référence à des droits acquis non spécifiés en relation avec sa rémunération n’est qu’un renvoi à ce que prévoyait la législation régissant la fixation du traitement des agents publics, en particulier la LTrait, applicable au personnel des établissements publics médicaux (art. 1 al. 1 let b LTrait). Il ne découle de la teneur de la convention aucune promesse ou engagement quant à la pérennisation de l’une ou l’autre composante du traitement du recourant nonobstant une modification législative la diminuant ou la supprimant, étant précisé que la conclusion de ladite convention est intervenue alors que la question était d’actualité.</w:t>
      </w:r>
    </w:p>
    <w:p>
      <w:r>
        <w:t>Le grief doit ainsi être écarté. 3)</w:t>
      </w:r>
    </w:p>
    <w:p>
      <w:r>
        <w:t>Le recourant invoque en second lieu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- 7/8 - A/3097/2015</w:t>
      </w:r>
    </w:p>
    <w:p>
      <w:r>
        <w:t>Le grief doit donc écarté. 4)</w:t>
      </w:r>
    </w:p>
    <w:p>
      <w:r>
        <w:t>Le recourant se plaint enfin d’une violation du principe de l’interdiction de l’arbitraire, sans développer une argumentation distincte à l’appui de ce grief. Celui-ci, sans portée propre, ne peut donc qu’être écarté. 5)</w:t>
      </w:r>
    </w:p>
    <w:p>
      <w:r>
        <w:t>Vu ce qui précède, le recours sera rejeté.</w:t>
      </w:r>
    </w:p>
    <w:p>
      <w:r>
        <w:t>6)</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