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ATA/1001/2019 vom 11. Juni 2019</w:t>
      </w:r>
    </w:p>
    <w:p>
      <w:r>
        <w:t>GE Cour de justice, 2019-06-11, FR</w:t>
      </w:r>
    </w:p>
    <w:p>
      <w:r>
        <w:rPr>
          <w:b/>
        </w:rPr>
        <w:t xml:space="preserve">Quelle: </w:t>
      </w:r>
      <w:r>
        <w:t>https://mcp.opencaselaw.ch/entscheid/ge_gerichte_ATA_1001_2019</w:t>
      </w:r>
    </w:p>
    <w:p>
      <w:r>
        <w:t>FR: GE_GERICHTE ATA/1001/2019 du 11 juin 2019</w:t>
      </w:r>
    </w:p>
    <w:p>
      <w:r>
        <w:t>IT: GE_GERICHTE ATA/1001/2019 del 11 giugno 2019</w:t>
      </w:r>
    </w:p>
    <w:p>
      <w:pPr>
        <w:pStyle w:val="Heading2"/>
      </w:pPr>
      <w:r>
        <w:t>Erwägungen</w:t>
      </w:r>
    </w:p>
    <w:p>
      <w:r>
        <w:rPr>
          <w:b/>
        </w:rPr>
        <w:t>E. 12</w:t>
      </w:r>
    </w:p>
    <w:p>
      <w:r>
        <w:t>septembre 1985 - LPA - E 5 10). 2)</w:t>
      </w:r>
    </w:p>
    <w:p>
      <w:r>
        <w:t>L’ALCP, entré en vigueur pour la Suisse le 1er juin 2002, est applicable aux ressortissants des pays membres de l’Union européenne (ci-après : UE), dont fait partie la France, et de l’Association Européenne de Libre Échange (ci-après : AELE) et aux membres de leur famille, pour autant que le droit national – à savoir la loi fédérale sur les étrangers et l’intégration du 16 décembre 2005 (LEI -</w:t>
      </w:r>
    </w:p>
    <w:p>
      <w:r>
        <w:t>- 7/11 - A/3540/2017 RS 142.20 ; anciennement dénommée loi fédérale sur les étrangers - LEtr) et ses ordonnances d’exécution, en particulier l’ordonnance relative à l'admission, au séjour et à l'exercice d'une activité lucrative du 24 octobre 2007 (OASA - RS 142.201) – ne soit pas plus favorable ou que l’ALCP n’en dispose pas autrement (art. 12 ALCP ; art. 2 al. 2 et 3 LEI). 3)</w:t>
      </w:r>
    </w:p>
    <w:p>
      <w:r>
        <w:t>Les autorisations de séjour de courte durée, de séjour et frontalières UE/AELE peuvent être révoquées ou ne pas être prolongées, si les conditions requises pour leur délivrance ne sont plus remplies (art. 23 al. 1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 OLCP - RS 142.203). 4)</w:t>
      </w:r>
    </w:p>
    <w:p>
      <w:r>
        <w:t>Les droits d'entrée, de séjour et d'accès à une activité économique conformément à l'ALCP, y compris le droit de demeurer sur le territoire d'une partie contractante après la fin d'une activité économique, sont réglés par l'annexe 1 de l'accord (art. 3, 4 et 7 let. c ALCP).</w:t>
      </w:r>
    </w:p>
    <w:p>
      <w:r>
        <w:t>Selon l'art. 6 § 1 annexe 1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 5)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w:t>
      </w:r>
    </w:p>
    <w:p>
      <w:r>
        <w:t>- 8/11 - A/3540/2017</w:t>
      </w:r>
    </w:p>
    <w:p>
      <w:r>
        <w:t>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al. 2 annexe I ALCP). 6)</w:t>
      </w:r>
    </w:p>
    <w:p>
      <w:r>
        <w:t>En l’espèce, la recourante n’exerce plus d’activité lucrative depuis 2011, sous réserve d'une courte période en 2015. Elle a, jusqu'en 2018, recherché un emploi.</w:t>
      </w:r>
    </w:p>
    <w:p>
      <w:r>
        <w:t>Financièrement, sous réserve de la brève période où elle a travaillé en 2015, elle a reçu des prestations de l'hospice depuis 2011, et cela jusqu'au cours de l'année 2018. Elle bénéficie maintenant de mesures accordées par l'OCAI.</w:t>
      </w:r>
    </w:p>
    <w:p>
      <w:r>
        <w:t>Elle ne peut ainsi prétendre à une autorisation de séjour fondée sur l’ALCP. 7)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w:t>
      </w:r>
    </w:p>
    <w:p>
      <w:r>
        <w:t>b. En l’espèce, la recourante a commencé à travailler en Suisse en 2003, en premier en qualité de fonctionnaire internationale puis au bénéfice d'une autorisation de travail frontalière. En 2009, alors qu'elle était âgée de 32 ans, elle s'est installée à Genève. Elle y a eu une activité salariée jusqu'au 28 mars 2011, ainsi que du 12 mai au 4 juin 2015. Sous réserve de cette brève période, l'intéressée a dépendu de l’aide sociale jusqu'en 2018, moment où elle a bénéficié de prestations à visées de réinsertion professionnelle, limitées dans le temps, de l'assurance-invalidité.</w:t>
      </w:r>
    </w:p>
    <w:p>
      <w:r>
        <w:t>- 9/11 - A/3540/2017</w:t>
      </w:r>
    </w:p>
    <w:p>
      <w:r>
        <w:t>Elle n’a pas apporté d’éléments permettant de retenir qu’elle était intégrée en Suisse sur le plan professionnel ni qu’elle entretenait sur d’autres plans des liens si étroits qu’un retour soit en France, soit en Russie, ne puisse être envisagé. 8)</w:t>
      </w:r>
    </w:p>
    <w:p>
      <w:r>
        <w:t>Compte tenu de ce qui précède, c’est à bon à droit que le TAPI a confirmé le bien-fondé de la décision de l’OCPM. 9)</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LEI). Elle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En l’espèce, il ne ressort pas du dossier que l’exécution du renvoi serait impossible, illicite ou inexigible au regard de l’art. 83 LEI. La présence en Suisse de la recourante pour suivre la procédure AI n’est pas nécessaire, dès lors qu’elle pourrait s’y déplacer depuis la France en cas de convocation personnelle. Enfin, elle n’a pas allégué qu’elle ne serait actuellement pas en mesure de supporter un déménagement et rien au dossier n’indique que ce pourrait être le cas. C’est ainsi à bon droit que le renvoi a été prononcé.</w:t>
      </w:r>
    </w:p>
    <w:p>
      <w:r>
        <w:t>Au vu de ce qui précède, le recours sera rejeté. 10) Aucun émolument ne sera perçu, malgré son issue, au vu de la situation financière de l'intéressée.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