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ATAX/49/2007 vom 31. Oktober 2007</w:t>
      </w:r>
    </w:p>
    <w:p>
      <w:r>
        <w:t>GE Cour de justice, 2007-10-31, FR</w:t>
      </w:r>
    </w:p>
    <w:p>
      <w:r>
        <w:rPr>
          <w:b/>
        </w:rPr>
        <w:t xml:space="preserve">Quelle: </w:t>
      </w:r>
      <w:r>
        <w:t>https://mcp.opencaselaw.ch/entscheid/ge_gerichte_ATAX_49_2007</w:t>
      </w:r>
    </w:p>
    <w:p>
      <w:r>
        <w:t>FR: GE_GERICHTE ATAX/49/2007 du 31 octobre 2007</w:t>
      </w:r>
    </w:p>
    <w:p>
      <w:r>
        <w:t>IT: GE_GERICHTE ATAX/49/2007 del 31 ottobre 2007</w:t>
      </w:r>
    </w:p>
    <w:p>
      <w:pPr>
        <w:pStyle w:val="Heading2"/>
      </w:pPr>
      <w:r>
        <w:t>Regeste</w:t>
      </w:r>
    </w:p>
    <w:p>
      <w:r>
        <w:t>Résumé: Les décisions de la Commission se fondent à Genève usuellement sur un tarif horaire de 400 à 450 fr. pour un chef d'étude, 300 à 380 fr. pour les collaborateurs et 180 fr. à 200 fr. pour les stagiaires.</w:t>
      </w:r>
    </w:p>
    <w:p>
      <w:pPr>
        <w:pStyle w:val="Heading2"/>
      </w:pPr>
      <w:r>
        <w:t>Erwägungen</w:t>
      </w:r>
    </w:p>
    <w:p>
      <w:r>
        <w:rPr>
          <w:b/>
        </w:rPr>
        <w:t>E. 31</w:t>
      </w:r>
    </w:p>
    <w:p>
      <w:r>
        <w:t>janvier 2007. Il ne soulève exclusivement que des griefs relatifs à la facturation et principalement au taux horaire facturé, de sorte que la Commission de taxation est compétente pour se prononcer. En substance, se prévalant d’un accord avec Me W______ sur un tarif de 180 fr. de l’heure, le cité conteste le montant facturé par Me I______ et reproche à ce dernier d’avoir appliqué des tarifs horaire variables de 180 fr. pour Me W______, 380 fr. pour Me L______ et 400 fr. pour Me I______. Or, s’il est exact que les tarifs appliqués par Me I______ pour un chef d’Etude, un collaborateur et un stagiaire sont tout à fait conformes à l’usage à Genève, il n’apparaît pas dans le dossier qu’il ait trouvé avec K______ un nouvel accord augmentant le tarif horaire du travail facturé. Par ailleurs, compte tenu des heures consacrées à un dossier qui, à l’examen des notes d’honoraires, n’aboutit aujourd’hui qu’à des mesures protectrices de l’union</w:t>
      </w:r>
    </w:p>
    <w:p>
      <w:r>
        <w:t>- 4/5 - TH C/13854/2007 conjugale, il n’apparaît pas choquant que la note d’honoraires du 13 février 2007, à laquelle il faut ajouter celle du 13 juillet 2006, en 16'155 fr. 60, soit limitée à 7'551 fr., soit à 180 fr. de l’heure, comme convenu entre K______ et Me W______. Dans ces circonstances, la Commission de taxation fait sien le calcul proposé par K______ et réduit la note du 13 février 2007 à 7'551 fr. (41,95 heures x 180 fr. de l’heure) auxquels il faut ajouter 50 fr. de débours et 573 fr. 90 de TVA, soit un total de 8'174 fr. 90, dont à déduire la provision reçue de 1'065 fr. 80, d’où un solde de 7'109 fr. dû par K______ à son avocat. * * * * *</w:t>
      </w:r>
    </w:p>
    <w:p>
      <w:r>
        <w:t>- 5/5 - TH C/13854/2007 PAR CES MOTIFS, LA COMMISSION DE TAXATION DES HONORAIRES D'AVOCAT : Taxe la note de frais et honoraires du 13 février 2007 établie par Me I______, pour l’activité déployée par son Etude, du 13 juillet 2006 au 31 janvier 2007, dans la défense des intérêts de K______ à 8'174 fr. 90 TTC, dont à déduire 1'065 fr. 80 de provision et 6'485 fr. 20 déjà versés.</w:t>
      </w:r>
    </w:p>
    <w:p>
      <w:r>
        <w:t>Siégeant : Monsieur Louis PEILA, président; Monsieur David ROBERT, juge; Me Corinne NERFIN, avocate; Mme Céline GLAUS, secrétaire.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