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ATAS/9/2013 vom 7. Januar 2013</w:t>
      </w:r>
    </w:p>
    <w:p>
      <w:r>
        <w:t>GE Cour de justice, 2013-01-07, FR</w:t>
      </w:r>
    </w:p>
    <w:p>
      <w:r>
        <w:rPr>
          <w:b/>
        </w:rPr>
        <w:t xml:space="preserve">Quelle: </w:t>
      </w:r>
      <w:r>
        <w:t>https://mcp.opencaselaw.ch/entscheid/ge_gerichte_ATAS_9_2013</w:t>
      </w:r>
    </w:p>
    <w:p>
      <w:r>
        <w:t>FR: GE_GERICHTE ATAS/9/2013 du 7 janvier 2013</w:t>
      </w:r>
    </w:p>
    <w:p>
      <w:r>
        <w:t>IT: GE_GERICHTE ATAS/9/2013 del 7 gennaio 2013</w:t>
      </w:r>
    </w:p>
    <w:p>
      <w:pPr>
        <w:pStyle w:val="Heading2"/>
      </w:pPr>
      <w:r>
        <w:t>Erwägungen</w:t>
      </w:r>
    </w:p>
    <w:p>
      <w:r>
        <w:rPr>
          <w:b/>
        </w:rPr>
        <w:t>E. 1</w:t>
      </w:r>
    </w:p>
    <w:p>
      <w:r>
        <w:t>La Cour de céans a déjà examiné les questions de sa compétence et de la recevabilité du recours dans son ordonnance du 10 octobre 2011 (ATAS/934/2011), de sorte qu’il n’y a pas lieu d’y revenir ici.</w:t>
      </w:r>
    </w:p>
    <w:p>
      <w:r>
        <w:rPr>
          <w:b/>
        </w:rPr>
        <w:t>E. 2</w:t>
      </w:r>
    </w:p>
    <w:p>
      <w:r>
        <w:t>Il n’est pas contesté que la recourante a droit à une rente entière de l’assurance- invalidité du 1er décembre 2004 au 31 janvier 2007. Le litige porte sur le point de savoir si c’est à juste titre que l’intimé a limité le droit à la rente au 31 janvier 2007.</w:t>
      </w:r>
    </w:p>
    <w:p>
      <w:r>
        <w:rPr>
          <w:b/>
        </w:rPr>
        <w:t>E. 3</w:t>
      </w:r>
    </w:p>
    <w:p>
      <w:r>
        <w:t>Selon la jurisprudence, une décision par laquelle l'assurance-invalidité accorde une rente d'invalidité avec effet rétroactif et, en même temps, prévoit la réduction ou</w:t>
      </w:r>
    </w:p>
    <w:p>
      <w:r>
        <w:t>A/1622/2011 - 12/23 -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t>A/1622/2011 - 13/23 -</w:t>
      </w:r>
    </w:p>
    <w:p>
      <w:r>
        <w:rPr>
          <w:b/>
        </w:rPr>
        <w:t>E. 5</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non publié du 3 décembre 2007, I 1093/06,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w:t>
      </w:r>
    </w:p>
    <w:p>
      <w:r>
        <w:t>A/1622/2011 - 14/23 -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A/1622/2011 - 15/23 -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t>A/1622/2011 - 16/23 -</w:t>
      </w:r>
    </w:p>
    <w:p>
      <w:r>
        <w:rPr>
          <w:b/>
        </w:rPr>
        <w:t>E. 7</w:t>
      </w:r>
    </w:p>
    <w:p>
      <w:r>
        <w:t>En l'espèce, la Cour de céans a jugé, dans son ordonnance du 10 octobre 2011, que les rapports au dossier n’étaient pas suffisants pour déterminer si l’amélioration de la capacité de travail de la recourante constatée par les experts du CEMED (rapport du 28 décembre 2006) - à savoir une capacité de travail de 70% dans une activité adaptée, alors qu’elle avait été nulle à compter du 19 décembre 2003 - avait perduré jusqu’au 14 avril 2011, date déterminante à laquelle a été rendue la décision litigieuse. Il se justifiait ainsi d'ordonner une expertise psychiatrique judiciaire, laquelle a été confiée au Dr V___________. Par rapport du 18 janvier 2012, complété le 13 septembre 2012, le Dr V___________ a diagnostiqué un syndrome douloureux somatoforme persistant (F45.4) présent depuis 2003, et d’autres épisodes dépressifs (F32.8). Ces troubles ne limitaient toutefois pas la capacité de travail de la recourante dans une activité adaptée à ses limitations physiques. L’expert a expliqué que la recourante ne présentait aucune comorbidité psychiatrique ayant valeur de maladie : les symptômes thymiques étaient mineurs et ne remplissaient pas les critères définissant un épisode dépressif (F32.0 à F32.3). L’épisode dépressif apparu en fin d’année 2006 avait connu une évolution favorable grâce à une prise en charge dès le début de l’année 2007. La symptomatologie dépressive s’était donc atténuée dans le courant 2007 et, selon toute vraisemblance, elle n’avait pas eu par la suite de répercussion importante sur la capacité de travail de la recourante. Cet épisode ne persistait actuellement que sous forme de symptômes résiduels. Par ailleurs, la recourante ne présentait ni affections corporelles chroniques en dehors des diverses lésions rhumatologiques diagnostiquées (discopathies modérées, séquelles de maladie de Scheuermann), ni un processus maladif durable. Elle ne subissait aucune perte d’intégration sociale (elle avait des contacts réguliers avec son frère et sa belle-sœur ainsi qu’avec son ex-mari, qui l’aidaient et la soutenaient, elle voyait également des amies). Son état psychique ne pouvait être qualifié de cristallisé et elle avait su mobiliser ses ressources psychologiques pour surmonter la souffrance morale d’une séparation et l’état dépressif réactionnel qui s’en était suivi et les employait aujourd’hui à tenter de minimiser les conséquences des manifestations de ses douleurs sur l’équilibre psychique de ses enfants. Ainsi, la recourante ne souffrait pas d’un trouble spécifiquement psychiatrique qui limiterait sa capacité de travail. L’expert a encore précisé que si l’expression subjective et les conséquences fonctionnelles des douleurs alléguées étaient relativement sévères - alors que le syndrome douloureux somatoforme persistant en tant que tel ne l’était pas - et laissaient penser que la recourante n’avait pas les ressources psychiques nécessaires pour surmonter ses douleurs aux fins d’exercer une activité lucrative, on ne pouvait toutefois attribuer ce défaut de ressources psychiques à la présence d’une comorbidité psychiatrique. Peu après l’examen effectué par les médecins du CEMED, un état dépressif était apparu en septembre 2006, mais il était en rémission partielle grâce à la poursuite du traitement anti-dépresseur. Enfin, l’expert n’avait pas d’arguments cliniques ou</w:t>
      </w:r>
    </w:p>
    <w:p>
      <w:r>
        <w:t>A/1622/2011 - 17/23 - anamnestiques permettant de diagnostiquer un trouble de la personnalité ; la recourante présentait des caractéristiques de personnalité dépendante et elle avait également montré une discrète tendance à la discordance idéo-affective, mais ces traits restaient infra-cliniques. En conclusion, d’un point de vue strictement psychique, les troubles présentés par la recourante ne limitaient pas sa capacité de travail dans une activité adaptée à ses limitations physiques. La Cour de céans constate que le rapport du Dr V___________ se base sur des examens de la recourante et sur son dossier médical. L’anamnèse est complète et les plaintes ont été prises en considération. La description et l’appréciation de la situation médicale sont claires. L’expert s’est exprimé sur l'évolution de l'état de santé de la recourante, sur sa capacité de travail et sur ses limitations fonctionnelles. Enfin, il a dûment expliqué et motivé son point de vue. Ses conclusions sont cohérentes et convaincantes. Il s’ensuit que ce rapport remplit en tous points les réquisits jurisprudentiels pour que lui soit accordée une pleine valeur probante. La recourante fait valoir que l’expert n’a pas été en mesure de se prononcer sur les répercussions qu’a entraîné la symptomatologie dépressive et elle estime que sa capacité de travail dans une activité adaptée est de 50%, en se fondant sur l’avis de la Dresse M___________. La Cour de céans constate que les observations de la Dresse M___________ ne sont pas de nature à remettre en cause l’appréciation du Dr V___________. En effet, les rapports établis par la Dresse M___________, spécialiste FMH en médecine interne générale et médecin traitant, se limitent à faire état d’une incapacité de travail totale (rapport du 14 septembre 2009) ou une capacité de travail de 50% dans une activité adaptée (rapport du 23 mai 2011), sans avancer de motif médical justifiant de s’écarter des conclusions du Dr V___________, lesquelles viennent confirmer l’amélioration de la capacité de travail constatée par les experts du CEMED. Par ailleurs, interrogé sur les répercussions de la symptomatologie dépressive, le Dr V___________ a dûment expliqué qu’en raison de l’épisode dépressif développé en septembre 2006, la recourante a été prise en charge sur le plan psychiatrique au début 2007, que grâce aux médicaments, la symptomatologie dépressive s’était atténuée dans le courant 2007 et que, selon toute vraisemblance, elle n’avait pas eu de répercussion importante sur la capacité de travail de la recourante (complément au rapport d’expertise du 13 septembre 2012). En outre, l’expert a estimé, contrairement à l’avis des experts du CEMED, que les caractéristiques de personnalité dépendante - qui restaient infra-cliniques - n’avaient pas de répercussion sur la capacité de travail de la recourante. Ces conclusions sont d’ailleurs corroborées par l’appréciation émise par le Dr S___________, psychiatre traitant, puisque ce spécialiste considérait, dans son rapport du 21 juin 2007, que seuls les troubles somatiques avaient une répercussion</w:t>
      </w:r>
    </w:p>
    <w:p>
      <w:r>
        <w:t>A/1622/2011 - 18/23 - sur la capacité de travail de la recourante (rapport du 21 juin 2007, page 3). Par la suite, ce médecin ne s’est pas prononcé sur la question déterminante de la capacité de travail de sa patiente, estimant que la mise en œuvre d’un examen médical complémentaire était nécessaire (rapport du 22 octobre 2009). Il n’existe ainsi aucune circonstance bien établie, susceptible d’ébranler sérieusement la crédibilité des conclusions du Dr V___________. Compte tenu de ce qui précède, il y a lieu de retenir que la recourante a présenté une incapacité de travail totale dans toute activité dès le 19 décembre 2003 - point au demeurant admis par l’intimé et non contesté dans le cadre du présent recours - et une capacité entière dans une activité adaptée à ses limitations rhumatologiques à compter d’octobre 2006, date retenue par l’intimé et correspondant à la fin de l’expertise effectuée par le CEMED (avis du SMR du 18 février 2008). Reste encore à examiner le degré d’invalidité que présentait la recourante.</w:t>
      </w:r>
    </w:p>
    <w:p>
      <w:r>
        <w:rPr>
          <w:b/>
        </w:rPr>
        <w:t>E. 8</w:t>
      </w:r>
    </w:p>
    <w:p>
      <w:r>
        <w:t>a) A teneur des dispositions en vigueur jusqu’au 31 décembre 2007, le droit à la rente au sens de l’art. 28 LAI prend naissance au plus tôt à la date dès laquelle l’assuré présente une incapacité de gain durable de 40 % au moins (art. 29 al. 1 LAI et art. 7 LPGA), ou dès laquelle l’assuré a présenté, en moyenne, une incapacité de travail de 40 % au moins pendant une année sans interruption notable (art. 6 LPGA). b)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w:t>
      </w:r>
    </w:p>
    <w:p>
      <w:r>
        <w:t>A/1622/2011 - 19/23 -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w:t>
      </w:r>
    </w:p>
    <w:p>
      <w:r>
        <w:t>A/1622/2011 - 20/23 - subjectives (ATF non publié 9C_313/2007 du 8 janvier 2008 consid. 5.2 in fine et la référence).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A/1622/2011 - 21/23 -</w:t>
      </w:r>
    </w:p>
    <w:p>
      <w:r>
        <w:rPr>
          <w:b/>
        </w:rPr>
        <w:t>E. 9</w:t>
      </w:r>
    </w:p>
    <w:p>
      <w:r>
        <w:t>En l’occurrence, il n’est pas contesté que la recourante présentait un degré d’invalidité de 100% à l’échéance d’une année d’attente à compter du 19 décembre 2003, donnant droit à une rente entière dès le 1er décembre 2004. Reste donc à déterminer le degré d’invalidité que subit la recourante lorsque sa capacité de travail est totale dans une activité adaptée, soit dès octobre 2006. a) S’agissant du salaire sans invalidité, l’intimé a retenu un salaire annuel pour 2006 de 46’513 fr. Compte tenu des renseignements fournis par l'employeur en date du 9 février 2005, ce montant n’est pas contestable et il n’est, au demeurant, pas contesté par la recourante. b) S'agissant du revenu d'invalide, dans la mesure où la recourante n’exerce pas d’activité lucrative, il y a lieu par conséquent de se référer aux statistiques salariales. Compte tenu de l'activité de substitution raisonnablement exigible de la part de la recourante dans un emploi adapté à son état de santé, le salaire de référence est celui auquel peuvent prétendre les femmes effectuant des activités simples et répétitives dans le secteur privé (RAMA 2001 n° U 439 p. 347), à savoir 4’019 fr. par mois (tous secteurs confondus) - valeur en 2006 - part au 13ème salaire comprise (ESS 2006, tableau TA1, niveau de qualification 4), soit 48’228 fr. par année. Compte tenu du fait que les salaires bruts standardisés se basent sur un horaire de travail de quarante heures, soit une durée hebdomadaire inférieure à la moyenne usuelle dans les entreprises en 2006 (41.7 heures; La Vie économique, 1/2 - 2010, tableau B9.2), ce montant doit être porté à 50’278fr. (48’228 x 41.7 : 40) pour un plein temps. S’agissant du degré d’abattement auquel la recourante peut prétendre, la Cour de céans est d’avis qu’un taux de 10% maximum se justifie vu les limitations fonctionnelles présentées par la recourante, étant précisé par ailleurs qu’elle bénéficie d’une autorisation d’établissement C, qu’elle était âgée de 38 ans au jour de la décision litigieuse et qu’elle présente un taux d’occupation de 100%. En conséquence, le revenu d’invalide pour une activité à 100%, avec une déduction globale de 10%, se monte à 45’250 fr. La comparaison du revenu avec et sans invalidité aboutit à un degré d’invalidité de 2.7% (46’513- 45’250/ 46’513), soit un taux insuffisant pour l’octroi d’une rente. A noter que même en appliquant une déduction de 25%, le revenu d’invalide se monterait à 37'709 fr. et le taux d’invalidité à 19%, soit un taux encore insuffisant pour avoir droit à une rente d’invalidité.</w:t>
      </w:r>
    </w:p>
    <w:p>
      <w:r>
        <w:t>A/1622/2011 - 22/23 - C’est par conséquent à bon droit que l’intimé a mis un terme au versement de la rente entière dès le 1er février 2007, soit trois mois après l’amélioration de la capacité de travail constatée en octobre 2006. Enfin, vu le degré d’invalidité de 2.7%, la recourante ne saurait prétendre à des mesures de réadaptation professionnelle, de sorte que la décision litigieuse ne prête pas le flanc à la critique sur ce point.</w:t>
      </w:r>
    </w:p>
    <w:p>
      <w:r>
        <w:rPr>
          <w:b/>
        </w:rPr>
        <w:t>E. 10</w:t>
      </w:r>
    </w:p>
    <w:p>
      <w:r>
        <w:t>Partant, le recours ne peut être que rejeté. Etant donné que, depuis le 1er juillet 2006, la procédure n’est plus gratuite (art. 69 al. 1bis LAI), au vu du sort du recours, il y a lieu de condamner la recourante au paiement d’un émolument de 200 fr.</w:t>
      </w:r>
    </w:p>
    <w:p>
      <w:r>
        <w:t>A/1622/2011 - 23/23 -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