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ATAS/9/2011 vom 11. Januar 2011</w:t>
      </w:r>
    </w:p>
    <w:p>
      <w:r>
        <w:t>GE Cour de justice, 2011-01-11, FR</w:t>
      </w:r>
    </w:p>
    <w:p>
      <w:r>
        <w:rPr>
          <w:b/>
        </w:rPr>
        <w:t xml:space="preserve">Quelle: </w:t>
      </w:r>
      <w:r>
        <w:t>https://mcp.opencaselaw.ch/entscheid/ge_gerichte_ATAS_9_2011</w:t>
      </w:r>
    </w:p>
    <w:p>
      <w:r>
        <w:t>FR: GE_GERICHTE ATAS/9/2011 du 11 janvier 2011</w:t>
      </w:r>
    </w:p>
    <w:p>
      <w:r>
        <w:t>IT: GE_GERICHTE ATAS/9/2011 del 11 gennaio 2011</w:t>
      </w:r>
    </w:p>
    <w:p>
      <w:pPr>
        <w:pStyle w:val="Heading2"/>
      </w:pPr>
      <w:r>
        <w:t>Erwägungen</w:t>
      </w:r>
    </w:p>
    <w:p>
      <w:r>
        <w:rPr>
          <w:b/>
        </w:rPr>
        <w:t>E. 1</w:t>
      </w:r>
    </w:p>
    <w:p>
      <w:r>
        <w:t>Conformément à l'art. 56 V al. 1 let.a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w:t>
      </w:r>
    </w:p>
    <w:p>
      <w:r>
        <w:t>A/2969/2010 - 6/12 -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w:t>
      </w:r>
    </w:p>
    <w:p>
      <w:r>
        <w:rPr>
          <w:b/>
        </w:rPr>
        <w:t>E. 3</w:t>
      </w:r>
    </w:p>
    <w:p>
      <w:r>
        <w:t>Déposé dans les forme et délai prévus par la loi, le présent recours est recevable (art. 39 al. 1 et 60 al. 2 LPGA).</w:t>
      </w:r>
    </w:p>
    <w:p>
      <w:r>
        <w:rPr>
          <w:b/>
        </w:rPr>
        <w:t>E. 4</w:t>
      </w:r>
    </w:p>
    <w:p>
      <w:r>
        <w:t>Le litige porte sur le droit de l’intimée à mettre un terme à la prise en charge du traitement médical administré à la recourante.</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notion d'accident se décompose en cinq éléments ou conditions,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w:t>
      </w:r>
    </w:p>
    <w:p>
      <w:r>
        <w:t>A/2969/2010 - 7/12 -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w:t>
      </w:r>
    </w:p>
    <w:p>
      <w:r>
        <w:rPr>
          <w:b/>
        </w:rPr>
        <w:t>E. 6</w:t>
      </w:r>
    </w:p>
    <w:p>
      <w:r>
        <w:t>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vel ante n'est pas rétabli, l'assureur-accidents doit prendre à sa charge le traitement de l'état maladif préexistant,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w:t>
      </w:r>
    </w:p>
    <w:p>
      <w:r>
        <w:t>A/2969/2010 - 8/12 -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outre, toujours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Ainsi, l’administration et le juge des assurances sociales peuvent, sous certaines réserves, se prononcer sur la base d’expertises réalisées par des médecins liés à l’institution d’assurance (ATF 122 V</w:t>
      </w:r>
    </w:p>
    <w:p>
      <w:r>
        <w:t>A/2969/2010 - 9/12 - 157). Ainsi,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353 sv. consid. 3b/ee).</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Dans le cas d’espèce, le Dr C_________ a considéré qu’en date du 21 avril 2010, jour de l’examen médical de la recourante, l’accident du 17 janvier 2008 ne jouait plus qu’un rôle minime dans la symptomatologie douloureuse résiduelle de l’épaule. a) Il sied donc de déterminer, dans un premier temps, si le rapport établi à l’issue de l’examen médical revêt une pleine valeur probante, de sorte que l’intimé pouvait se fonder sur ses conclusions pour nier ex nunc et pro futuro la prise en charge du traitement médical. C’est le lieu de rappeler que la seule question à laquelle le Dr C_________ devait répondre portait sur l’existence ou non d’un lien de causalité entre l’événement du 17 janvier 2008 et la symptomatologie douloureuse résiduelle de l’épaule. En effet, le fait que la recourante souffre d’une épaule douloureuse n’est pas remis en question. S’agissant de la valeur probante du rapport du Dr C_________, la Chambre de céans constate qu’il répond aux exigences posées par la jurisprudence en la matière (ATF 125 V 351, consid. 3a). En effet, il a été établi après que l'expert ait étudié les pièces du dossier. Il se base sur une anamnèse complète et tient compte des plaintes subjectives de la recourante, qu’il a au demeurant examinée. Enfin, ses conclusions sont bien motivées. Il a notamment expliqué les raisons pour lesquelles il a considéré que la symptomatologie résiduelle de l’épaule n’était plus liée à l’accident. Par conséquent, le rapport du 25 septembre 2009 remplit toutes les conditions jurisprudentielles permettant de lui reconnaître une pleine valeur probante. Sur le fond, le Dr C_________ considère qu’« en l’absence de déchirure de la coiffe avérée, l’accident du 17 janvier 2008 ne joue en effet, à [son] avis qu’un rôle minime sur la symptomatologie douloureuse résiduelle de l’épaule », les troubles</w:t>
      </w:r>
    </w:p>
    <w:p>
      <w:r>
        <w:t>A/2969/2010 - 10/12 - douloureux vertébraux et les douleurs cervico-scapulo-brachiales étant à mettre en relation avec des comorbidités indépendantes de l’accident, telles que spondylarthrose, fibromyalgie, séquelles de maladie de Lyme. En d’autres termes, le lien de causalité naturelle entre l’accident et les douleurs résiduelles n’était plus établi au degré de la vraisemblance prépondérante nécessaire en matière d’assurances sociales. Dans son complément du 18 juin 2010, l’expert rappelle encore que les investigations pratiquées n’avaient démontré aucune lésion structurelle susceptible d’entraîner des troubles ostéo-articulaires durables. L’expertise du Dr C_________ et son complément disposent par conséquent d’une pleine valeur probante. b) Quant à l’appréciation du Dr A__________ du 30 juillet 2010, elle ne saurait remettre en question la valeur probante de l’expertise précité. En effet, ce praticien explique simplement qu’une cause neuropathique - ou, en d’autres termes, nerveuse - pourrait expliquer les douleurs, et se borne à rappeler que la fibromyalgie dont souffre la recourante était préexistante à l’accident et ne l’empêchait alors pas de dormir. Or, comme l’a relevé à juste titre l’assureur-accidents dans son courrier du 10 août 2010, le principe « post hoc, ergo propter hoc » n’est pas un moyen de preuve et ne permet pas d’établir à lui seul l’existence d’un lien de causalité au degré de la vraisemblance prépondérante. Par ailleurs, c’est le lieu de rappeler que la recourante souffre d’une fibromyalgie, que le Dr A__________ a qualifiée de sévère dans son rapport du 27 novembre 2009, et qu’une arthro-IRM du 26 août 2009 a mis en évidence, d’une part, plusieurs petites géodes dans la portion postérieure du trochiter, au site d’insertion du tendon du muscle sous-épineux, dont la présence a été mentionnée dans les conclusions du rapport, et, d’autre part, de discrètes irrégularités de contours du bourrelet postérieur, probablement d’origine dégénérative. Ainsi, plusieurs atteintes d’origine pathologique pouvant expliquer ces douleurs ont été constatées. S’agissant des lésions à l’origine de la prise en charge du traitement (rupture partielle du sus-épineux et micro-arrachement du trochiter), elles sont guéries comme cela ressort des rapports du Dr A__________ des 12 janvier et 27 novembre 2009. En effet, à titre de diagnostics, ce médecin a retenu un status post rupture partielle du sus-épineux et un status post-micro-arrachement du trochiter.</w:t>
      </w:r>
    </w:p>
    <w:p>
      <w:r>
        <w:rPr>
          <w:b/>
        </w:rPr>
        <w:t>E. 10</w:t>
      </w:r>
    </w:p>
    <w:p>
      <w:r>
        <w:t>Au vu de ce qui précède, force est de constater que l’expertise du Dr C_________ revêt une pleine valeur probante, que le Dr A__________ ne saurait remettre en</w:t>
      </w:r>
    </w:p>
    <w:p>
      <w:r>
        <w:t>A/2969/2010 - 11/12 - question. C’est donc à juste titre que l’assureur-accident a mis un terme à la prise en charge du traitement médical, de sorte que le recours doit être rejeté.</w:t>
      </w:r>
    </w:p>
    <w:p>
      <w:r>
        <w:t>A/2969/2010 - 12/12 -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