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ATAS/99/2024 vom 14. Februar 2024</w:t>
      </w:r>
    </w:p>
    <w:p>
      <w:r>
        <w:t>GE Cour de justice, 2024-02-14, FR</w:t>
      </w:r>
    </w:p>
    <w:p>
      <w:r>
        <w:rPr>
          <w:b/>
        </w:rPr>
        <w:t xml:space="preserve">Quelle: </w:t>
      </w:r>
      <w:r>
        <w:t>https://mcp.opencaselaw.ch/entscheid/ge_gerichte_ATAS_99_2024</w:t>
      </w:r>
    </w:p>
    <w:p>
      <w:r>
        <w:t>FR: GE_GERICHTE ATAS/99/2024 du 14 février 2024</w:t>
      </w:r>
    </w:p>
    <w:p>
      <w:r>
        <w:t>IT: GE_GERICHTE ATAS/99/2024 del 14 febbraio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w:t>
      </w:r>
    </w:p>
    <w:p>
      <w:r>
        <w:t>A/1072/2023 - 7/12 -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3. Dans le cadre de la réforme de la LPC, entrée en vigueur le 1er janvier 2021, de nombreuses dispositions ont été modifiées (FF 2016 7249; RO 2020 585). Dans la mesure où le recours porte sur le droit aux prestations complémentaires dès le 1er juin 2022, soit une période postérieure au 1er janvier 2021, le présent litige est soumis au nouveau droit. Les dispositions légales seront donc citées ci- après dans leur teneur en vigueur dès le 1er janvier 2021. 4. Le litige porte sur le bien-fondé de la décision de l’intimé prenant en compte un gain hypothétique pour l’intéressée dès le 1er juin 2022. 5.</w:t>
      </w:r>
    </w:p>
    <w:p>
      <w:r>
        <w:t>5.1 5.1.1 Selon l’art. 11a LPC, entré en vigueur le 1er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 Hormis la prise en compte, à hauteur de 80%,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5.1.2 Il y a dessaisissement lorsque le conjoint d'une personne assurée s'abstient de mettre en valeur sa capacité de gain, alors qu'il pourrait se voir obligé d'exercer une activité lucrative en vertu de l'art. 163 CC. Il appartient à l'administration ou,</w:t>
      </w:r>
    </w:p>
    <w:p>
      <w:r>
        <w:t>A/1072/2023 - 8/12 -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Il n’y a pas lieu d’examiner plus avant le critère de l’âge lorsque l’intéressé à moins de 60 ans, dès lors que la présomption d'exploitabilité de la capacité de travail résiduelle s'applique jusqu'à l'âge de 60 ans révolus (arrêt du Tribunal fédéral 9C_120/2012 du 2 mars 2012 consid. 4.3).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Le fait que le conjoint est considéré comme une personne sans activité lucrative au sens de l’art. 28a al. 3 LAI ne peut être invoqué dans le cadre de l’obligation de réduire le dommage en vertu de l’art. 11 al. 1 let. LPC (arrêt du Tribunal fédéral 9C_717/2010 du 16 janvier 2011 consid. 6). 5.1.3 Les organes d'exécution en matière de prestations complémentaires ne disposent certes pas des connaissances spécialisées pour évaluer l'invalidité, raison pour laquelle ils sont liés, en principe, par les évaluations de l'invalidité effectuées par les organes de l'assurance-invalidité lorsqu'ils fixent le revenu exigible des assurés partiellement invalides ; les mesures d'instruction propres au SPC ne portent alors que sur les causes de l'incapacité de gain qui sont étrangères à l'invalidité (cf. ATF 140 V 267 consid. 5.1 et les références ; 117 V 202 consid. 2b). Il n'en demeure pas moins que cette jurisprudence sur la force obligatoire de l'évaluation de l'invalidité par les organes de l'assurance-invalidité</w:t>
      </w:r>
    </w:p>
    <w:p>
      <w:r>
        <w:t>A/1072/2023 - 9/12 -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Aussi, le SPC n’est-il pas fondé à se prévaloir d'un manque de connaissances spécialisées pour écarter d'emblée toute mesure d'instruction au sujet de l'état de santé d'une personne (arrêts du Tribunal fédéral 8C_68/2007 du 14 mars 2008 consid. 5.3 et les références et 8C_172/2007 du 6 février 2008 consid. 7.2 ; ATAS/910/2017 du 17 octobre 2017 consid. 4). En l’absence d’un rapport établissant, de manière probante, l’existence d’une incapacité de travail, il revient au SPC, dans le cadre de son devoir d’instruction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(cf.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 5.1.4 Il faut octroyer au conjoint, selon la jurisprudence, un délai de transition réaliste pour la prise exigible d'une activité lucrative ou l'augmentation du taux d'activité aussi bien lorsque des prestations sont en cours que dans le cadre d'une première demande de prestations complémentaires. Ce principe ne vaut pas lorsqu'au vu de l'obtention prévisible des prestations complémentaires par l'un des conjoints, en raison par exemple de l'accession à l'âge de la retraite AVS et de la cessation de l'activité lucrative, l'autre conjoint a disposé de suffisamment de</w:t>
      </w:r>
    </w:p>
    <w:p>
      <w:r>
        <w:t>A/1072/2023 - 10/12 - temps pour une intégration professionnelle (ATF 142 V 12 consid. 5.4 et les références). 5.2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6.1</w:t>
      </w:r>
    </w:p>
    <w:p>
      <w:r>
        <w:t>En l’espèce, le fait que l’OAI ait retenu un statut ménager à l’intéressée ne lie pas l’intimé, dont les décisions sont fondées sur d’autres dispositions légales que celles régissant l’assurance-invalidité. S’il résulte de l’art. 163 CC que les époux sont en principe libres de s’organiser comme ils l’entendent, ce qui est garanti par l’art. 8 CEDH (droit au respect de la vie privée et familiale), cette liberté est limitée par les besoins de l’union conjugale et leur situation personnelle. En l’occurrence, l’art. 11a LPC, soit une base légale formelle, prévoit que si une personne renonce volontairement à exercer une activité lucrative que l’on pourrait raisonnablement exiger d’elle, le revenu hypothétique correspondant est pris en compte comme revenu déterminant. Il y a un intérêt public évident à que l’État exige que l’épouse d’un bénéficiaire des prestations complémentaires travaille dans la mesure du possible pour subvenir aux besoins de son ménage, avant de lui verser des prestations complémentaires à cette fin et cette exigence ne viole pas le principe de la proportionnalité. Le Tribunal fédéral a d’ailleurs précisé que l'obligation faite à la femme d'exercer une activité lucrative s'impose en particulier lorsque l'époux n'est pas en mesure de le faire en raison de son invalidité parce qu'il incombe à chacun de contribuer à l'entretien et aux charges du ménage (arrêt P 40/03 du 9 février 2005 consid. 4.2).</w:t>
      </w:r>
    </w:p>
    <w:p>
      <w:r>
        <w:rPr>
          <w:b/>
        </w:rPr>
        <w:t>E. 6.2</w:t>
      </w:r>
    </w:p>
    <w:p>
      <w:r>
        <w:t>Le recourant conteste la valeur probante de l’expertise. Cela étant, à teneur de la jurisprudence précitée, l’intimé est en principe lié par les évaluations de l’OAI, à moins qu’une telle évaluation n’existe pas ou qu’une modification de l’état de santé soit alléguée. En l’occurrence, l’intimé devait se prononcer dans la décision querellée sur la base de l’expertise qu’il avait déjà reçue, quand bien même l’OAI n’avait pas encore rendu sa décision. Il ne lui appartenait pas de se prononcer sur sa valeur probante. Selon l’expertise, la capacité de travail de l’intéressée est de 0% dans l’activité habituelle et de 90% dans une activité adaptée.</w:t>
      </w:r>
    </w:p>
    <w:p>
      <w:r>
        <w:t>A/1072/2023 - 11/12 - Sur cette base, l’intimé était fondé à reconnaître une capacité de travail de l’intéressée dans une activité adaptée, si ce n’est qu’il aurait dû la limiter à 90%, comme il l’a admis en cours de procédure.</w:t>
      </w:r>
    </w:p>
    <w:p>
      <w:r>
        <w:rPr>
          <w:b/>
        </w:rPr>
        <w:t>E. 6.3</w:t>
      </w:r>
    </w:p>
    <w:p>
      <w:r>
        <w:t>Reste à déterminer si c’est à juste titre que l’intimé a retenu qu’une activité professionnelle était exigible de l’intéressée en tenant compte de l’ensemble de sa situation et donc des critères non médicaux. L’intéressée était âgée de 52 ans au moment de la décision litigieuse, de sorte qu’elle était présumée employable. Cette présomption est toutefois renversée en l’occurrence. En effet, il convient d’admettre qu’il s’agit déjà d’un âge relativement avancé qui réduisait les chances de l’intéressée de trouver un emploi dans le marché ordinaire. Ces chances étaient encore plus réduites pour l’intéressée du fait qu’à teneur de l’expertise, elle était totalement incapable de travailler dans son activité habituelle (le ménage), soit le seul domaine dans lequel elle avait de l’expérience, et qu’elle avait des limitations fonctionnelles conséquentes. Par ailleurs, elle ne maîtrise pas le français, n’a pas de formation professionnelle et n’a exercé que très peu de temps une activité professionnelle plusieurs années auparavant (2 heures par jour dans le nettoyage pendant 10 mois en 2010). Au vu de l’ensemble de sa situation, il convient de retenir qu’une activité professionnelle n’était pas exigible de sa part, même à temps partiel.</w:t>
      </w:r>
    </w:p>
    <w:p>
      <w:r>
        <w:rPr>
          <w:b/>
        </w:rPr>
        <w:t>E. 7</w:t>
      </w:r>
    </w:p>
    <w:p>
      <w:r>
        <w:t>Au vu de ce qui précède, le recours sera admis, la décision querellée annulée et la cause renvoyée à l’intimé pour nouveaux calculs et nouvelle décision. Le recourant obtenant gain de cause et étant assisté d’un conseil, une indemnité de CHF 2'500.- lui sera accordée, à la charge de l’intimé,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A/1072/2023 - 12/12 -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