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ATAS/99/2022 vom 11. Februar 2022</w:t>
      </w:r>
    </w:p>
    <w:p>
      <w:r>
        <w:t>GE Cour de justice, 2022-02-11, FR</w:t>
      </w:r>
    </w:p>
    <w:p>
      <w:r>
        <w:rPr>
          <w:b/>
        </w:rPr>
        <w:t xml:space="preserve">Quelle: </w:t>
      </w:r>
      <w:r>
        <w:t>https://mcp.opencaselaw.ch/entscheid/ge_gerichte_ATAS_99_2022</w:t>
      </w:r>
    </w:p>
    <w:p>
      <w:r>
        <w:t>FR: GE_GERICHTE ATAS/99/2022 du 11 février 2022</w:t>
      </w:r>
    </w:p>
    <w:p>
      <w:r>
        <w:t>IT: GE_GERICHTE ATAS/99/2022 del 11 febbraio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accidents, du 20 mars 1981 (LAA - RS 832.20). Sa compétence pour juger du cas d’espèce est ainsi établie. 2. À teneur de l’art. 1 al. 1 LAA, les dispositions de la LPGA s’appliquent à l’assurance-accidents, à moins que la loi n’y déroge expressément. 3.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 4. Le délai de recours est de trente jours (art. 56 LPGA ; art. 62 al. 1 de la loi sur la procédure administrative du 12 septembre 1985 [LPA - E 5 10]). Les délais en jours ou en mois fixés par la loi ou par l’autorité ne courent pas du 15 juillet au 15 août inclusivement (art. 38 al. 4 let. b LPGA ; art. 89C let. b LPA). Interjeté dans la forme et le délai prévus par la loi, le recours du 14 septembre 2020 contre la décision sur opposition du 20 juillet 2020 est recevable. 5. Il convient au préalable de définir l’objet du litige. 5.1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Selon la jurisprudence, la question de la suspension des indemnités journalières et du traitement médical, d’une part, et de l’examen des conditions du droit à la rente, d’autre part, forment un seul objet du litige (ATF 144 V 354 consid. 4.2).</w:t>
      </w:r>
    </w:p>
    <w:p>
      <w:r>
        <w:t>A/2806/2020 - 6/26 - 5.2 En l’occurrence, la décision du 20 juillet 2020 dont est recours confirme, sur opposition, celle du 27 janvier 2020 par laquelle l’intimée a statué sur les droits du recourant à une rente d’invalidité et à une indemnité pour atteinte à l’intégrité. Préalablement, l’intimée avait, par courrier du 17 janvier 2020, mis un terme au versement des indemnités journalières et au paiement des soins médicaux, à l’exception d’une physiothérapie et des antalgiques habituels pendant une durée limitée, avec effet au 29 février 2020. Ainsi, en statuant par décision sur le droit à la rente, l’intimée a également, par voie de conséquence, refusé formellement le versement de l’indemnité journalière au-delà du 29 février 2020, de sorte que les conclusions de l’intéressé sont recevables. 5.3 Le litige porte donc sur le droit aux prestations du recourant au-delà du 29 février 2020, cas échéant sur l’évaluation de son degré d’invalidité et son droit à une indemnité pour atteinte à l’intégrité.</w:t>
      </w:r>
    </w:p>
    <w:p>
      <w:r>
        <w:rPr>
          <w:b/>
        </w:rPr>
        <w:t>E. 6.1</w:t>
      </w:r>
    </w:p>
    <w:p>
      <w:r>
        <w:t>Selon l’art. 6 al. 1 LAA, les prestations d’assurance sont allouées en cas d’accident professionnel, d’accident non professionnel et de maladie professionnelle.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À teneur de l’art. 18 al. 1 LAA, si l’assuré est invalide (art. 8 LPGA) à 10% au moins par suite d’un accident, il a droit à une rente d’invalidité, pour autant que l’accident soit survenu avant l’âge ordinaire de la retraite.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6.2</w:t>
      </w:r>
    </w:p>
    <w:p>
      <w:r>
        <w:t>La notion d’incapacité de travail, à laquelle renvoie l’art. 16 al. 1 LAA comme condition du droit à l’indemnité journalière, est définie à l’art. 6 LPGA.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durable dans l’ancienne profession, l’assuré est tenu, en vertu de son devoir de diminuer le dommage, d’utiliser dans un autre</w:t>
      </w:r>
    </w:p>
    <w:p>
      <w:r>
        <w:t>A/2806/2020 - 7/26 - secteur sa capacité fonctionnelle résiduelle. À cet égard, la jurisprudence considère qu’un délai doit être imparti à l’intéressé pour rechercher une activité raisonnablement exigible dans une autre profession ou un autre domaine. La durée de ce délai est généralement de trois à cinq mois selon la pratique applicable en matière d’assurance-maladie (arrêt du Tribunal fédéral 8C_173/2008 du 20 août 2008 consid. 2.3). Cette application en assurance-accidents des délais aménagés à l’assuré en matière d’indemnités journalières pour maladie s’est heurtée à des critiques doctrinales, qui soutiennent qu’un changement de profession ne saurait être exigé avant la stabilisation de l’état de santé de l’assuré (Kaspar GEHRING in KIESER / GEHRING / BOLLINGER [éd.], KVG UVG Kommentar, 2018, n. 3 ad art. 16 LAA ; Markus SCHMID in HÜRZELER / KIESER [éd.], Kommentar zum schweizerischen Sozial-versicherungsrecht, UVG, 2018, n. 11 ad art. 16 LAA). Le droit aux indemnités journalières cesse toutefois au plus tard lors de la stabilisation de l’état médical (Philipp GEERTSEN in HÜRZELER / KIESER [éd.], UVG, Bundesgesetz über die Unfallversicherung, 2018, n. 18 ad art. 19 UVG).</w:t>
      </w:r>
    </w:p>
    <w:p>
      <w:r>
        <w:rPr>
          <w:b/>
        </w:rPr>
        <w:t>E. 6.3</w:t>
      </w:r>
    </w:p>
    <w:p>
      <w:r>
        <w:t>L’art. 19 al. 1 LAA délimite temporellement le droit au traitement médical et le droit à la rente d’invalidité, le moment déterminant étant celui auquel l’état de santé peut être considéré comme relativement stabilisé (arrêt du Tribunal fédéral des assurances U 305/03 du 31 août 2004 consid. 4.1 et les références). Le droit au traitement médical et aux indemnités journalières cesse s’il n’y a plus lieu d’attendre de la continuation du traitement médical une sensible amélioration de l’état de santé de l’assuré et qu’aucune mesure de réadaptation de l’assurance- invalidité n’entre en considération, mais qu’aucune rente n’est allouée parce que l’assuré présente un taux d’invalidité inférieur au seuil de 10% prévu par l’art. 18 al. 1 LAA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La loi ne précise pas ce qu’il faut entendre par « une sensible amélioration de l’état de l’assuré » (art. 19 al. 1 LAA).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Ce qu’il faut comprendre par sensible amélioration de l’état de santé au sens de l’art. 19 al. 1 LAA se détermine ainsi en fonction de l’augmentation ou du rétablissement de la capacité de travail à attendre pour autant qu’elle ait été diminuée par l’accident, auquel cas l’amélioration escomptée</w:t>
      </w:r>
    </w:p>
    <w:p>
      <w:r>
        <w:t>A/2806/2020 - 8/26 -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6.4</w:t>
      </w:r>
    </w:p>
    <w:p>
      <w:r>
        <w:t>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adopté l’art. 30 de l’ordonnance sur l’assurance-accidents du 20 décembre 1982 (OLAA - RS 832.202), lequel prévoit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l’assurance-invalidité,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246 consid. 2b et la référence). C’est donc</w:t>
      </w:r>
    </w:p>
    <w:p>
      <w:r>
        <w:t>A/2806/2020 - 9/26 -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(ATF 129 V 283). La décision portant sur l’allocation d’une rente transitoire doit mentionner qu’elle sera remplacée dès l’achèvement de la réadaptation ou s’il est renoncé à sa mise en œuvre. Il s’agit, en effet, d’éviter de faire naître de faux espoirs quant au montant de la rente ordinaire ou « définitive », pour reprendre la terminologie de l’art. 30 OLAA (ATF 139 V 514 consid. 2.3 et les références).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A/2806/2020 - 10/26 -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t>A/2806/2020 - 11/26 -</w:t>
      </w:r>
    </w:p>
    <w:p>
      <w:r>
        <w:rPr>
          <w:b/>
        </w:rPr>
        <w:t>E. 9</w:t>
      </w:r>
    </w:p>
    <w:p>
      <w:r>
        <w:t>En l’espèce, l’intimée a mis un terme au versement des indemnités journalières et à la prise en charge des frais de traitement au 29 février 2020, date à partir de laquelle elle a considéré qu’il n’y avait plus lieu d’attendre de la continuation du traitement une amélioration notable de l’état de santé. Dans sa décision litigieuse du 20 juillet 2020, elle a notamment rappelé que le Dr F______ avait conclu, dans son avis du 10 janvier 2020, que malgré la stabilisation médicale, un traitement de physiothérapie était à poursuivre durant deux à trois mois, pour autant qu’une reprise de l’activité habituelle puisse avoir lieu. Or, l’intéressé n’avait jamais pu reprendre son travail de peintre. Elle a également relevé que le Dr D______ n’était pas parvenu à une appréciation différente de celle de son médecin d’arrondissement. Ainsi, la poursuite de la prise en charge du traitement était devenue « hors sujet » et il fallait constater que la stabilisation médicale reconnue au 29 février 2020 était correcte. Le recourant a contesté que sa situation médicale fût stabilisée au 29 février 2020 et souligné la persistance des douleurs et l’impossibilité de reprendre son activité de peintre. Il a soutenu que la tentative de reprise du travail en janvier 2020 n’avait pas été couronnée de succès, avec l’apparition de douleurs incapacitantes nécessitant des arrêts de travail médicalement attestés. Selon ses médecins, la reprise d’activité était prématurée et empêchait la guérison, d’autant plus que l’employeur exigeait un travail à la cadence habituelle. Le recourant a fait grief à l’intimée de ne pas avoir suffisamment instruit son dossier, en particulier sur les questions d’une activité adaptée, d’une baisse de rendement ou d’un abattement, de ne pas avoir attendu les résultats de la période de test et d’avoir rendu une décision sur la base d’un rapport « provisoire », alors que les mesures de reconversion de l’OAI ne faisaient que commencer.</w:t>
      </w:r>
    </w:p>
    <w:p>
      <w:r>
        <w:rPr>
          <w:b/>
        </w:rPr>
        <w:t>E. 9.1</w:t>
      </w:r>
    </w:p>
    <w:p>
      <w:r>
        <w:t>Il convient donc d’examiner la valeur probante du rapport du Dr F______.</w:t>
      </w:r>
    </w:p>
    <w:p>
      <w:r>
        <w:rPr>
          <w:b/>
        </w:rPr>
        <w:t>E. 9.1.1</w:t>
      </w:r>
    </w:p>
    <w:p>
      <w:r>
        <w:t>La chambre de céans constate à titre liminaire que le médecin d’arrondissement a pris connaissance de l’ensemble des pièces de l’intimée, dont le dossier radiologique, qu’il a tenu compte des plaintes de l’intéressé, procédé à un examen clinique approfondi le 8 janvier 2020, avant de livrer son appréciation du cas et de motiver ses conclusions. Son rapport remplit donc a priori les critères jurisprudentiels pour se voir reconnaître une pleine valeur probante.</w:t>
      </w:r>
    </w:p>
    <w:p>
      <w:r>
        <w:rPr>
          <w:b/>
        </w:rPr>
        <w:t>E. 9.1.2</w:t>
      </w:r>
    </w:p>
    <w:p>
      <w:r>
        <w:t>Sur le fond, la chambre de céans observe tout d’abord que le rapport du</w:t>
      </w:r>
    </w:p>
    <w:p>
      <w:r>
        <w:rPr>
          <w:b/>
        </w:rPr>
        <w:t>E. 9.1.3</w:t>
      </w:r>
    </w:p>
    <w:p>
      <w:r>
        <w:t>En ce qui concerne les atteintes à la santé, le Dr F______ a diagnostiqué une minime fissuration du subscapulaire. Il a constaté que la mobilité de l’épaule gauche était limitée en abduction (douloureuse au-delà de 130° contre 180° à droite), tout comme la rotation (distance pouce C7-T12 à gauche contre T2-T11 à droite), que les tests dynamiques avaient révélé une discrète insuffisance de force et que la manœuvre de Gerber était témoin d’une lésion élective du sous- scapulaire. Il ressort du dossier de la cause qu’un premier arthroscanner de l’épaule gauche réalisé le 26 novembre 2018 a révélé des signes en faveur d’une tendinopathie inflammatoire du long biceps et une minime fissuration de la face profonde de l’infra-épineux (cf. rapport du 26 novembre 2018). Si l’arthro-IRM du 5 juin 2019 s’est révélée dans les limites de la norme et n’a en particulier pas mis en évidence de fissuration ou de déchirure de la coiffe des rotateurs, ni de tendinite ou de tendinopathie appréciable des tendons de la coiffe des rotateurs, ni de lésion appréciable au niveau du tendon du long chef du biceps, ni d’argument en faveur d’une capsulite rétractile ou encore de lésion du bourrelet glénoïdien (cf. rapport de Medimage, Centre d’imagerie médicale), le second arthroscanner effectué le</w:t>
      </w:r>
    </w:p>
    <w:p>
      <w:r>
        <w:rPr>
          <w:b/>
        </w:rPr>
        <w:t>E. 9.1.4</w:t>
      </w:r>
    </w:p>
    <w:p>
      <w:r>
        <w:t>Le Dr F______ a considéré que le cas était stabilisé et qu’il n’y avait aucune intervention chirurgicale à proposer. Il a suggéré la poursuite de la physiothérapie pendant une durée de deux à trois mois à raison de deux fois par semaine « pour améliorer la capacité de gain et la récupération » du recourant. En cas de persistance des douleurs, une consultation au centre de la douleur pourrait être organisée et un reclassement professionnel serait nécessaire. La chambre de céans relève en premier lieu que les deux chirurgiens qui ont ausculté le recourant n’ont effectivement pas préconisé d’opération. Le Dr C______ a indiqué qu’il n’y avait pas d’indication chirurgicale (cf. rapport du 30 novembre 2018) et le Dr D______ a confirmé que le bilan radiologique exhaustif ne démontrait aucune lésion susceptible d’être améliorée par un geste chirurgical (cf. rapport du 5 décembre 2019). Elle observe ensuite, s’agissant des traitements prescrits au recourant depuis l’automne 2018, à savoir des séances de kinésithérapie, des antalgiques, des anti- inflammatoires, des infiltrations et du repos (cf. rapports du Dr C______ des 30 novembre 2018 et 17 juillet 2019), que ces mesures ont favorablement influencé la tendinopathie inflammatoire du long biceps, puisque cette pathologie a été observée lors de l’arthroscanner du 26 novembre 2018, mais plus lors des examens postérieurs (cf. rapports d’arthro-IRM du 5 juin 2019 et d’arthroscanner du 12 juillet 2019). En revanche, la minime fissuration de l’infra-épineux n’a pas pu être guérie en dépit de ces traitements. Les médecins du recourant ont d’ailleurs signalé une tendance à la récidive suite aux reprises de l’activité habituelle (cf. rapport de la Dresse E______ du 12 mars 2019 et rapports du Dr C______ des 26 mars et 17 juillet 2019). Concernant les effets des traitements sur la capsulite rétractile, le Dr D______ a relaté que la dernière infiltration n’avait pas amélioré le caractère douloureux qui persistait encore, mais qu’elle avait contribué, avec la physiothérapie, à améliorer « quelque peu » les amplitudes (cf. rapport du 5 décembre 2019). Il a par la suite expliqué qu’il n’y avait pas de traitement particulier et que l’évolution devait être naturellement favorable avec le temps (cf. rapport du 28 février 2020). Quant à la Dresse E______, elle a indiqué que les infiltrations avaient amélioré les douleurs, mais que son patient gardait une limitation des amplitudes articulaires (cf. rapport du 3 mars 2020). Il appert donc que le traitement suivi n’a pas entraîné d’amélioration sensible de l’état de</w:t>
      </w:r>
    </w:p>
    <w:p>
      <w:r>
        <w:t>A/2806/2020 - 14/26 - santé, étant encore rappelé que l’assureur-accidents est en droit de considérer que l’état de santé est stabilisé lorsque seule la poursuite d’un traitement antalgique et de physiothérapie a été suggérée. À toutes fins utiles, il sera rappelé que le traitement suggéré par le médecin d’arrondissement dans son rapport final était destiné à favoriser la reprise de l’activité habituelle déjà prévue par le recourant, et non pas à lui permettre d’exercer un travail adapté. Partant, aucun élément du dossier ne permet de remettre en cause la stabilisation de l’état de santé retenue par le Dr F______.</w:t>
      </w:r>
    </w:p>
    <w:p>
      <w:r>
        <w:rPr>
          <w:b/>
        </w:rPr>
        <w:t>E. 9.1.5</w:t>
      </w:r>
    </w:p>
    <w:p>
      <w:r>
        <w:t>S’agissant de la capacité de travail, le Dr F______ a conclu qu’une activité professionnelle adaptée était exigible à 100% dès le 15 janvier 2020, sans perte de rendement. Les limitations fonctionnelles comprenaient les mouvements fréquents et en force au-dessus du plan des épaules, ainsi que les mouvements impliquant des porte-à-faux en direction de l’horizontale supérieurs à 15kg. Il a indiqué qu’il était certain que l’activité de peintre, qui comprenait des activités de plaquiste un quart du temps, ne permettait pas toujours de respecter ce type de restrictions. À ce stade, la reprise de l’activité habituelle avait lieu à titre de test et en cas d’échec, un reclassement professionnel devrait alors être envisagé dans un métier respectant strictement les limitations fonctionnelles définies. À cet égard, le recourant avait évoqué la possibilité de se recycler dans l’horlogerie et avait pu tester la position de travail, sans difficulté. Les restrictions retenues par le Dr F______, qui consistent pour l’essentiel en des mesures d’épargne du membre supérieur gauche, et son appréciation de la capacité de travail dans l’activité habituelle et dans un poste adapté, correspondent aux avis émis par les autres médecins ayant examiné le recourant. En effet, la Dresse E______ a notamment constaté qu’une tentative de reprise avait été marquée par des douleurs et un œdème, qu’il convenait d’envisager une reclassement (cf. rapport du 30 septembre 2019), et que le poste habituel n’était pas adapté vu la contre-indication formelle de tout travail nécessitant l’élévation de l’épaule gauche au-dessus de l’horizontale (cf. rapport du 3 mars 2020). Le Dr C______ a relaté à réitérées reprises que le retour au travail avait été prématuré (cf. rapports des 30 novembre 2018, 26 mars et 17 juillet 2019) et il a ainsi suggéré une modification du poste ou une reconversion professionnelle en cas de récidive (cf. rapport du 17 juillet 2019). Enfin, le Dr D______ a noté qu’il était clair que pendant la période douloureuse et enraidissante, des activités physiques, notamment soulever des charges et lever les bras au-dessus de la hauteur des épaules, pouvaient devenir douloureuses et fatigantes, ce qui posait un réel problème dans l’activité habituelle. Dans un travail de bureau, sans effort physique, l’intéressé pourrait facilement récupérer une fonction à 100%. Cependant, le pronostic d’une capsulite rétractile était régulièrement favorable avec le temps et l’intéressé devrait pouvoir, dans un délai qu’il ne pouvait préciser, récupérer sa capacité à fonctionner comme peintre en</w:t>
      </w:r>
    </w:p>
    <w:p>
      <w:r>
        <w:t>A/2806/2020 - 15/26 - bâtiment (cf. rapport du 28 février 2020). Comme précédemment constaté, ce pronostic favorable ne s’est pas concrétisé, chacune des reprises d’activité ayant dû être interrompue après un ou deux jours, en raison d’une récidive des symptômes.</w:t>
      </w:r>
    </w:p>
    <w:p>
      <w:r>
        <w:rPr>
          <w:b/>
        </w:rPr>
        <w:t>E. 9.1.6</w:t>
      </w:r>
    </w:p>
    <w:p>
      <w:r>
        <w:t>Eu égard à tout ce qui précède, la chambre de céans constate qu’aucun élément concret ne permet de douter du bien-fondé de l’appréciation du Dr F______, dûment motivée et convaincante. Elle fera donc siennes les conclusions de son rapport du 10 janvier 2020 et tiendra pour établi, au degré de la vraisemblance prépondérante requis, que l’état de santé du recourant était stabilisé lors de son examen par le médecin d’arrondissement et qu’il disposait d’une entière capacité de travail dans une activité adaptée, sans diminution de rendement. Les mesures d’instruction complémentaire sollicitées par le recourant ne se justifient donc pas.</w:t>
      </w:r>
    </w:p>
    <w:p>
      <w:r>
        <w:rPr>
          <w:b/>
        </w:rPr>
        <w:t>E. 9.2</w:t>
      </w:r>
    </w:p>
    <w:p>
      <w:r>
        <w:t>S’agissant des mesures de réadaptation de l’assurance-invalidité, il est rappelé que l’OAI en a octroyé plusieurs au recourant, dont un coaching professionnel du 2 septembre au 31 décembre 2019 (cf. communication du 2 septembre 2019), une orientation horlogère du 26 au 28 novembre 2019 (cf. communication du 22 novembre 2019) et un cours de formation de base en horlogerie dès le 6 avril 2020 (cf. communication du 13 janvier 2020), avant de statuer sur son droit à la rente par décision du 8 avril 2020. À cet égard, il sied de relever que cette dernière mentionnait expressément que d’autres mesures n’étaient pas nécessaires, ce qui avait en outre déjà été annoncé à l’intéressé dans le projet de décision du 7 février 2020. Ainsi, les décisions de l’OAI concernant la réadaptation sont intervenues avant le prononcé de la décision attaquée du 20 juillet 2020. Que la dernière mesure octroyée par l’OAI soit encore en cours est sans influence.</w:t>
      </w:r>
    </w:p>
    <w:p>
      <w:r>
        <w:rPr>
          <w:b/>
        </w:rPr>
        <w:t>E. 9.3</w:t>
      </w:r>
    </w:p>
    <w:p>
      <w:r>
        <w:t>Par conséquent, l’intimée était fondée à mettre fin au versement des indemnités journalières et à la prise en charge du traitement médical, avec effet au 29 février 2020. 10. Il convient à présent d’examiner le droit à la rente du recourant.</w:t>
      </w:r>
    </w:p>
    <w:p>
      <w:r>
        <w:rPr>
          <w:b/>
        </w:rPr>
        <w:t>E. 10</w:t>
      </w:r>
    </w:p>
    <w:p>
      <w:r>
        <w:t>janvier 2020 est désigné comme étant un « examen final » et que le Dr F______ n’a pas mentionné qu’il devrait revoir l’intéressé dans un certain délai, ni que le dossier devrait lui être à nouveau soumis. Au contraire, il a estimé que le cas était stabilisé. S’il a intitulé « appréciation provisoire » la partie de son rapport dévolue à son argumentation, c’est uniquement parce qu’une tentative de reprise du travail était prévue aux mois de janvier et février 2020. À cet égard, il sied encore de relever que l’intéressé a déclaré au médecin d’arrondissement qu’il « comptait » reprendre son travail « à titre d’essai », qu’il « avait prévu » ce test en accord avec son médecin. Cet essai n’a donc en aucun cas été suggéré par le</w:t>
      </w:r>
    </w:p>
    <w:p>
      <w:r>
        <w:t>A/2806/2020 - 12/26 - Dr F______, lequel a clairement estimé que le métier de peintre en bâtiment était incompatible avec les limitations fonctionnelles retenues.</w:t>
      </w:r>
    </w:p>
    <w:p>
      <w:r>
        <w:rPr>
          <w:b/>
        </w:rPr>
        <w:t>E. 10.1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w:t>
      </w:r>
    </w:p>
    <w:p>
      <w:r>
        <w:rPr>
          <w:b/>
        </w:rPr>
        <w:t>E. 10.1.1</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w:t>
      </w:r>
    </w:p>
    <w:p>
      <w:r>
        <w:rPr>
          <w:b/>
        </w:rPr>
        <w:t>E. 10.1.2</w:t>
      </w:r>
    </w:p>
    <w:p>
      <w:r>
        <w:t>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 ATF 129 V 472 consid. 4.2.1).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étant précisé que, depuis l’ESS 2012, il y a lieu d’appliquer le tableau TA1_skill_ level et non pas le tableau TA1_b (ATF 143 V 295 consid. 4.2.2 ; ATF 142 V 178 ; arrêts du Tribunal fédéral 8C_46/2018 du 11 janvier 2019 consid. 4.4).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w:t>
      </w:r>
    </w:p>
    <w:p>
      <w:r>
        <w:t>A/2806/2020 - 17/26 -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 et l’ESS 2014, le 15 avril 2016.</w:t>
      </w:r>
    </w:p>
    <w:p>
      <w:r>
        <w:rPr>
          <w:b/>
        </w:rPr>
        <w:t>E. 10.1.3</w:t>
      </w:r>
    </w:p>
    <w:p>
      <w:r>
        <w:t>Depuis la 10ème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10.1.4</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w:t>
      </w:r>
    </w:p>
    <w:p>
      <w:r>
        <w:t>A/2806/2020 - 18/26 -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À titre d’exemples, le Tribunal fédéral a confirmé un abattement de 5% dans le cas d’un assuré qui présentait des restrictions au niveau son bras droit dominant, avec une limitation considérable des amplitudes au niveau de l’épaule, mais conservait un usage intact de la main (arrêt du Tribunal fédéral 8C_173/2016 du</w:t>
      </w:r>
    </w:p>
    <w:p>
      <w:r>
        <w:rPr>
          <w:b/>
        </w:rPr>
        <w:t>E. 10.2</w:t>
      </w:r>
    </w:p>
    <w:p>
      <w:r>
        <w:t>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9C_644/2015 du 3 mai 2016 consid. 4.3.1).</w:t>
      </w:r>
    </w:p>
    <w:p>
      <w:r>
        <w:rPr>
          <w:b/>
        </w:rPr>
        <w:t>E. 10.3</w:t>
      </w:r>
    </w:p>
    <w:p>
      <w:r>
        <w:t>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w:t>
      </w:r>
    </w:p>
    <w:p>
      <w:r>
        <w:t>A/2806/2020 - 19/26 -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11. En l’occurrence, l’intimée a retenu que la comparaison des gains de valide et d’invalide, soit CHF 70’978.- selon les indications fournies par l’employeur, respectivement CHF 71’625.- sur la base des salaires statistiques, ne laissait pas apparaître d’invalidité. Le recourant a contesté cette appréciation, invoquant notamment que la prise en compte d’une activité statistique de niveau 2 impliquait « des connaissances professionnelles et techniques ». Or, l’obtention de son CAP français (équivalent du CFC) de peintre en bâtiment ne lui était d’aucune utilité dans le cadre d’une nouvelle activité dans un autre domaine, et il avait toujours exercé le métier de peintre et travaillé pour la même entreprise. Il y était un simple ouvrier et n’était pas chargé de l’évaluation des coûts ou de l’établissement de devis. Son activité ne correspondait en rien à la vente, aux soins ou encore au traitement des données. L’intimée ne démontrait pas en quoi sa formation pourrait être utile dans d’autres professions, en particulier dans sa tentative de reconversion dans l’horlogerie. L’expérience acquise dans l’activité de chantier ne pouvait pas lui servir dans le cadre d’un travail de précision dans l’horlogerie, ces métiers étant diamétralement différents, étant encore précisé que le métier d’horloger nécessitait une formation spécifique, soit un CFC dont la durée de formation était de 4 ans au moins. Rien</w:t>
      </w:r>
    </w:p>
    <w:p>
      <w:r>
        <w:t>A/2806/2020 - 20/26 - ne justifiait de se baser sur un niveau de qualification 2, étant souligné le résultat absurde du calcul de l’intimée selon lequel il pourrait gagner plus avec invalidité. Enfin, le principe de l’unité du taux d’invalidité en assurance sociale devait conduire à retenir le même taux que celui fixé par l’OAI, soit 13.7%. L’intimée a rétorqué que depuis les statistiques 2012, l’accent était mis sur le type de tâches que l’assuré était susceptible d’assumer en fonction de ses qualifications, mais pas sur les qualifications elles-mêmes. Les niveaux de qualification valables jusqu’en 2010 étaient obsolètes, et le niveau de qualification 2, soit des connaissances professionnelles et techniques, n’était plus applicable. Il convenait de retenir le niveau de compétences 2, soit des tâches pratiques telles que « la vente, les soins, le traitement des données, les tâches administratives, l’utilisation de chaines et d’appareils électroniques, les services de sécurité et la conduite de véhicule ». Le niveau de compétences 1 ne visait que des tâches physiques ou manuelles simples. Ces éléments lui permettaient de retenir un niveau de compétence 2, qui reflétait les domaines de l’horlogerie par exemple, dans lesquels ses nouvelles connaissances acquises pourraient être mises en valeur sur le marché du travail, indépendamment de l’absence d’expérience. En outre, au vu des limitations fonctionnelles retenues, une activité physique ou manuelle, même simple, ne pouvait pas être imposée au recourant. Tant le métier de peintre que celui d’horloger requéraient l’accomplissement de tâches administratives et commerciales, tels que l’évaluation des coûts et l’établissement de devis. En outre, ces deux domaines de profession nécessitaient que l’employé soit méticuleux et précis, compétences que le recourant avait pu acquérir en exerçant le métier de peintre et qu’il pourrait continuer de mettre à profit dans une activité telle que le domaine de l’horlogerie. Le fait que l’intéressé ne puisse pas poursuivre son activité de peintre n’impliquait pas qu’il doive se résoudre à effectuer des tâches manuelles simples du niveau de compétences 1, c’est à-dire des emplois non qualifiée. Si par impossible le niveau de compétences 1 devait être retenu, le calcul de l’OAI était cependant erroné. En effet, le salaire mensuel de CHF 5’389.- ne ressortait d’aucune donnée statistique, que ce soit de 2016 ou de 2018. De plus, l’OAI avait indiqué se référer à 2016, mais n’avait pas procédé à l’adéquation des salaires jusqu’en 2020. 11.1.1 S’agissant du revenu sans invalidité, la chambre de céans constate que le gain retenu par l’intimée (CHF 70’978.-) correspond aux indications communiquées par l’employeur (salaire horaire de base [CHF 31.50 x 40 x 52] + 13ème salaire [8.33%] ; cf. réponse au questionnaire reçue par l’intimée le 5 avril 2019). Le recourant ne fait d’ailleurs valoir aucune critique à ce sujet. 11.1.2 Quant au revenu d’invalide, elle relève, au vu de la capacité de travail raisonnablement exigible de la part du recourant dans un emploi adapté à son état de santé, que la référence au tableau TA1_skill_level ne prête pas le flanc à la critique, dès lors que le Tribunal fédéral l’a admise pour des assurés qui ne pouvaient exercer que des travaux légers. La référence à la ligne « TOTAL » est</w:t>
      </w:r>
    </w:p>
    <w:p>
      <w:r>
        <w:t>A/2806/2020 - 21/26 - également adéquate, étant en particulier observé que le dossier ne comporte aucune pièce sur l’issue de la mesure de formation de base en horlogerie à laquelle il était prévu que le recourant participe jusqu’au 4 décembre 2020. En ce qui concerne le niveau de compétences, le recourant a suivi un apprentissage de 2002 à 2004 et obtenu au mois de juin 2004, à l’âge de 18 ans, un CAP de peintre en bâtiment. Depuis lors, il a travaillé exclusivement en cette qualité, et ce auprès du même employeur. Ce dernier a été interrogé sur la possibilité que l’intéressé suive une formation de technicien, afin de préparer des devis, gérer des chantiers ou des soumissions, ce à quoi il a clairement répondu qu’il ne voyait pas le recourant autrement que comme peintre dans l’entreprise (cf. procès-verbal relatif à l’entretien du 24 mai 2019). Il n’apparaît dès lors pas, au degré de la vraisemblance prépondérante, que le recourant serait apte à réaliser des tâches pratiques telles que la vente, les soins, le traitement de données et les tâches administratives, l’utilisation de machines et d’appareils électroniques, les services de sécurité, la conduite de véhicules (niveau de compétences 2) dans le secteur privé. Dans ces conditions, le niveau de compétences le plus bas doit être retenu. Le salaire déterminant est donc de CHF 5’340.- (ESS 2016, TA1_skill_level, secteur privé, total pour les hommes, niveau de compétences 1), soit un revenu annuel de CHF 64’080.-. Compte tenu de l’évolution des salaires nominaux (augmentation de 0.4% en 2017, 0.5% en 2018 et 0.9% en 2019, Office fédéral de la statistique - évolution des salaires nominaux, des prix à la consommation et des salaires réels 2010-2020), on obtient un revenu annuel de CHF 65’239.90 pour 2019. Enfin, comme les salaires bruts standardisés tiennent compte d’un horaire de travail de 40 heures, soit une durée hebdomadaire inférieure à la moyenne usuelle dans les entreprises en 2019 (41.7 heures, Office fédéral de la statistique – statistique de la durée normale du travail dans les entreprises), ce montant doit être porté à CHF 68’012.60 (CHF 65’239.90 x 41.7 / 40). 11.1.3 Le recourant reproche à l’intimée de ne pas avoir appliqué d’abattement. Dans le cas présent, le seul facteur pertinent pour la déduction serait la limitation due aux troubles somatiques présentés par le recourant. Aucun autre critère de réduction ne saurait entrer en ligne de compte, ce que l’intéressé ne soutient au demeurant pas. Les limitations fonctionnelles concernent exclusivement le membre supérieur gauche, singulièrement son utilisation répétitive au-dessus du plan des épaules, sans restriction aucune au niveau des mains. La chambre de céans ne relève aucun motif pertinent lui permettant de substituer sa propre estimation à celle de l’intimée, ce d’autant moins que l’évolution de l’état de santé du recourant devrait s’améliorer naturellement selon le Dr D______ (cf. rapport du 28 février 2020). La Dresse E______ a pronostiqué une tendance à la récidive selon l’activité professionnelle exercée</w:t>
      </w:r>
    </w:p>
    <w:p>
      <w:r>
        <w:t>A/2806/2020 - 22/26 - (cf. rapport du 12 mars 2019), suggérant ainsi qu’une guérison pouvait être attendue avec le respect des limitations fonctionnelles. Le Dr C______ a, pour sa part, conseillé de « pousser le traitement jusqu’à la guérison » (cf. rapport du</w:t>
      </w:r>
    </w:p>
    <w:p>
      <w:r>
        <w:rPr>
          <w:b/>
        </w:rPr>
        <w:t>E. 12</w:t>
      </w:r>
    </w:p>
    <w:p>
      <w:r>
        <w:t>juillet 2019 a mis en exergue une « probable » minime fissure transfixiante du tendon subscapulaire (cf. rapport du Centre d’imagerie médicale du Mont-Blanc, France). Le chirurgien orthopédique qui suit le recourant en France a ainsi estimé que la petite lésion non transfixiante sous scapulaire corrélée à la symptomatologie n’était pas encore totalement guérie (cf. rapport du Dr C______ du 17 juillet 2019). Le Dr D______, lequel a examiné le recourant à trois reprises entre les 29 octobre et 5 décembre 2019, a pour sa part constaté une limitation modérée des amplitudes articulaires, sans signe d’atteinte de la coiffe ni d’argument pour une instabilité d’épaule. Il n’y avait pas de douleur des articulations acromio-claviculaires, ni de troubles neurovasculaires. Le bilan radiologique n’avait pas montré de lésion significative, dégénérative, tendineuse ou impliquant une altération de la stabilité glénohumérale (cf. rapport du 28 février 2020). Il a conclu, au vu des bilans radiologiques, soit des IRM et scanner « normaux », et des limitations fonctionnelles constatées à l’examen clinique, que l’intéressé souffrait d’une capsulite rétractile post-traumatique au décours (cf. rapport du 29 octobre 2019), atteinte caractérisée par une perte progressive et douloureuse des amplitudes articulaires passives et actives de l’épaule s’étendant sur au moins un mois (091028_capsulite_retractile (hug.ch). Quant à la Dresse E______, elle a mentionné que l’accident avait entrainé une tendinite de la coiffe des rotateurs, suivie d’une capsulite rétractile (cf. rapport du 3 mars 2020). Ainsi, en diagnostiquant une minime fissuration du subscapulaire, le Dr F______ a pris en considération la minime lésion qui n’a pas été formellement</w:t>
      </w:r>
    </w:p>
    <w:p>
      <w:r>
        <w:t>A/2806/2020 - 13/26 - objectivée lors du dernier examen radiologique, mais dont la suspicion a été corrélée par son auscultation et par celle du Dr C______. Il a par ailleurs également tenu compte de la symptomatologie douloureuse et des restrictions de mobilité, et donc de la capsulite rétractile évoquée par le Dr D______ et la Dresse E______. Qu’il n’ait pas cité expressément ce trouble à titre de diagnostic n’est pas déterminant. Il appert donc que le médecin d’arrondissement a pris en considération toutes les atteintes dont souffre le recourant, lequel ne soutient au demeurant pas que certains diagnostics auraient été omis.</w:t>
      </w:r>
    </w:p>
    <w:p>
      <w:r>
        <w:rPr>
          <w:b/>
        </w:rPr>
        <w:t>E. 12.1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w:t>
      </w:r>
    </w:p>
    <w:p>
      <w:r>
        <w:t>A/2806/2020 - 23/26 -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L’annexe 3 à l’OLAA comporte un barème – reconnu conforme à la loi et non exhaustif (ATF 113 V 218 consid. 2a ; RAMA 1988 p. 236) – des lésions fréquentes et caractéristiques, évaluées en pourcent (ATF 124 V 209 consid. 4bb). L’indemnité allouée pour les atteintes à l’intégrité énumérées à cette annexe est fixée, en règle générale, en pourcent du montant maximum du gain assuré (ch. 1 al. 1).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le Tableau 1 « Atteinte à l’intégrité résultant de troubles fonctionnels des membres supérieurs » de la SUVA, une épaule bloquée en adduction donne droit à une indemnité de 30%, une épaule mobile jusqu’à 30° au-dessus de l’horizontale à 10% et mobile jusqu’à l’horizontale à 15%.</w:t>
      </w:r>
    </w:p>
    <w:p>
      <w:r>
        <w:rPr>
          <w:b/>
        </w:rPr>
        <w:t>E. 12.2</w:t>
      </w:r>
    </w:p>
    <w:p>
      <w:r>
        <w:t>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w:t>
      </w:r>
    </w:p>
    <w:p>
      <w:r>
        <w:t>A/2806/2020 - 24/26 -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voir aussi ATF 125 II 169 consid. 2d). Cette évaluation incombe donc avant tout aux médecins, qui doivent d’une part constater objectivement quelles limitations subit l’assuré et d’autre part estimer l’atteinte à l’intégrité en résultant (arrêt du Tribunal fédéral 8C_703/2008 du 25 septembre 2009 consid. 5.1). 13. En l’espèce, l’intimée s’est basée sur les conclusions du Dr F______, lequel a estimé qu’il n’existait aucune atteinte à l’intégrité pouvant ouvrir le droit à une indemnité. Elle a notamment relevé que le recourant n’avait fourni aucun document médical permettant de mettre en doute cette appréciation. Le recourant a soutenu qu’il présentait une mobilité restreinte de l’épaule gauche, que sa médecin traitant avait attesté plusieurs limitations, avec des amplitudes articulaires en rotation et élévation de 105°, extension 30° et rotation médiale de 90°. Selon la table 1 de la SUVA en lien avec l’indemnisation des atteintes à l’intégrité selon la LAA, une épaule mobile jusqu’à 30° au-dessus de l’horizontale donnait droit à une indemnité à hauteur de 10%. Faute d’instruction suffisante, le montant exact de l’indemnité ne pouvait être déterminé avec précision et il conviendrait à l’expertise de déterminer sa quotité exacte. En l’état, il concluait à l’octroi d’une telle indemnité sur la base d’un taux de 40%. L’intimée a observé que lors de l’examen de mobilité de l’épaule gauche du 8 janvier 2020, le Dr F______ avait constaté une élévation de 180°, une abduction de 130°, douloureuse au-delà, une distance pouce en C7-T12 et une rotation externe à 50°. Selon la table 1 relative aux atteintes à l’intégrité résultant de troubles fonctionnels des membres supérieurs, une indemnité pour atteinte à l’intégrité de 10% était allouée lorsque l’épaule était mobile jusqu’à 30° au-dessus de l’horizontale, soit 120°. Le recourant pouvait élever son épaule en abduction jusqu’à 130°, soit au-delà de ce qui était requis pour prétendre à une telle indemnité. Aucun élément pertinent et scientifiquement motivé ne permettait de remettre en question l’appréciation du Dr F______. 13.1 La chambre de céans est d’avis que les conditions d’octroi d’une indemnité pour atteinte à l’intégrité ne sont de toute façon pas réalisées, dès lors que le pronostic de la capsulite rétractile est favorable « naturellement » (cf. rapport du Dr D______), ce qui exclut une atteinte durable, et que la « probable » déchirure du sous-épineux a été qualifiée de « minime », ce qui permet d’écarter le caractère important de la lésion. À toutes fins utiles, elle relèvera encore que lors de l’examen du Dr F______, la mobilité de l’épaule gauche a été mesurée à 130° en abduction, soit une amplitude</w:t>
      </w:r>
    </w:p>
    <w:p>
      <w:r>
        <w:t>A/2806/2020 - 25/26 - supérieure à la limite pouvant ouvrir le droit à une indemnité pour atteinte à l’intégrité. La reprise d’activité tentée par la suite par le recourant a entraîné une recrudescence des douleurs et de la limitation des amplitudes (cf. rapport de la Dresse E______ du 3 mars 2020). Comme déjà mentionné, tous les médecins consultés, dont les médecins traitants du recourant, ont estimé que la symptomatologie devrait s’améliorer avec du repos, soit une activité adaptée aux limitations fonctionnelles. 13.2 Partant, la décision de l’intimée en tant qu’elle nie le droit du recourant à une indemnité pour atteinte à l’intégrité apparaît également bien fondée. 14. Au vu de ce qui précède, le recours est rejeté. Pour le surplus, la procédure est gratuite (art. 61 let. a LPGA).</w:t>
      </w:r>
    </w:p>
    <w:p>
      <w:r>
        <w:t>A/2806/2020 - 26/26 - PAR CES MOTIFS, LA CHAMBRE DES ASSURANCES SOCIALES : Statuant À la forme :</w:t>
      </w:r>
    </w:p>
    <w:p>
      <w:r>
        <w:rPr>
          <w:b/>
        </w:rPr>
        <w:t>E. 16</w:t>
      </w:r>
    </w:p>
    <w:p>
      <w:r>
        <w:t>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w:t>
      </w:r>
    </w:p>
    <w:p>
      <w:r>
        <w:t>A/2806/2020 - 16/26 - obtenues (méthode générale de comparaison des revenus ; ATF 128 V 29 consid. 1 ; ATF 130 V 343 consid. 3.4).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ATF 128 V 174).</w:t>
      </w:r>
    </w:p>
    <w:p>
      <w:r>
        <w:rPr>
          <w:b/>
        </w:rPr>
        <w:t>E. 17</w:t>
      </w:r>
    </w:p>
    <w:p>
      <w:r>
        <w:t>juillet 2019), ce qui plaide également en faveur d’un rétablissement possible et sans séquelles. Compte tenu de son obligation de retenue, la chambre de céans ne s’écartera pas de l’appréciation de l’intimée, qui dispose d’un large pouvoir en matière d’abattement. 11.2 Par conséquent, la perte de gain s’élève à CHF 2’965.40 (CHF 70’978.- - CHF 68’012.60), ce qui correspond à un degré d’invalidité de 4.17%, insuffisant pour ouvrir le droit à une rente. 11.3 S’agissant du calcul de l’OAI, ce dernier a fixé le revenu sans invalidité à CHF 70’980.- et le gain avec invalidité à CHF 61’244.- (T1_skills level 2016, secteur privé et public, total, activité de niveau 1, homme, revenu mensuel de CHF 5’389.-, annualisé, puis adapté à la durée hebdomadaire normale du travail, et indexé à 2018, avec un abattement de 10% en raison des limitations fonctionnelles), soit une perte de gain de CHF 9’736.- correspondant à un degré d’invalidité de 13.7%. Il appert donc que le gain de valide retenu est légèrement supérieur à celui annoncé par l’employeur et que le revenu avec invalidité a été établi sur la base des statistiques tenant compte du secteur public, ce qui n’est en l’occurrence pas justifié par les circonstances du cas concret. L’intimée n’était ainsi pas liée par cette évaluation peu convaincante. 11.4 La décision litigieuse, en tant qu’elle nie le droit du recourant à une rente d’invalidité, peut donc être confirmée. 12. Enfin, reste à examiner le droit à une indemnité pour atteinte à l’intégrité.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