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ATAS/99/2018 vom 23. August 2017</w:t>
      </w:r>
    </w:p>
    <w:p>
      <w:r>
        <w:t>GE Cour de justice, 2017-08-23, FR</w:t>
      </w:r>
    </w:p>
    <w:p>
      <w:r>
        <w:rPr>
          <w:b/>
        </w:rPr>
        <w:t xml:space="preserve">Quelle: </w:t>
      </w:r>
      <w:r>
        <w:t>https://mcp.opencaselaw.ch/entscheid/ge_gerichte_ATAS_99_2018</w:t>
      </w:r>
    </w:p>
    <w:p>
      <w:r>
        <w:t>FR: GE_GERICHTE ATAS/99/2018 du 23 août 2017</w:t>
      </w:r>
    </w:p>
    <w:p>
      <w:r>
        <w:t>IT: GE_GERICHTE ATAS/99/2018 del 23 agosto 2017</w:t>
      </w:r>
    </w:p>
    <w:p>
      <w:pPr>
        <w:pStyle w:val="Heading2"/>
      </w:pPr>
      <w:r>
        <w:t>Erwägungen</w:t>
      </w:r>
    </w:p>
    <w:p>
      <w:r>
        <w:rPr>
          <w:b/>
        </w:rPr>
        <w:t>E. 4</w:t>
      </w:r>
    </w:p>
    <w:p>
      <w:r>
        <w:t>L’assuré, représenté par Me Christophe ZELLWEGER, a interjeté recours le 22 décembre 2017 contre la décision sur opposition. Il explique qu’il n’a pas reçu l’invitation de la Poste à venir retirer le pli recommandé contenant ladite décision, de sorte qu’il n’en a eu connaissance que le 2 décembre 2017, lorsqu’il l’a reçue sous pli simple. Au fond, il demande à ce que sa bonne foi soit reconnue.</w:t>
      </w:r>
    </w:p>
    <w:p>
      <w:r>
        <w:rPr>
          <w:b/>
        </w:rPr>
        <w:t>E. 5</w:t>
      </w:r>
    </w:p>
    <w:p>
      <w:r>
        <w:t>Dans sa réponse du 22 janvier 2018, le SPC a conclu à l’irrecevabilité du recours pour cause de tardiveté, considérant que le délai de recours venait à échéance le 21 décembre 2017 compte tenu du délai de garde de sept jours de la Poste.</w:t>
      </w:r>
    </w:p>
    <w:p>
      <w:r>
        <w:rPr>
          <w:b/>
        </w:rPr>
        <w:t>E. 6</w:t>
      </w:r>
    </w:p>
    <w:p>
      <w:r>
        <w:t>Ce courrier a été transmis à l’assuré et la cause gardée à juger sur la question de la recevabilité du recours.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décisions sur opposition peuvent faire l'objet d'un recours auprès de la chambre des assurances sociales de la Cour de justice dans un délai de trente jours à partir de leur notification (art. 49 al. 3 LMC). Le délai commence à courir le lendemain de la communication ou de l'événement qui le déclenche (art. 17 al. 1 et 62 al. 3 de la loi sur la procédure administrative du 12 septembre 1985 – LPA – RS E 5 10 ; cf art. 38 al. 1er LPGA). Une</w:t>
      </w:r>
    </w:p>
    <w:p>
      <w:r>
        <w:t>A/5049/2017 - 3/5 -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Toutefois, les délais en jours ou en mois fixés par la loi ou par l’autorité ne courent pas du 7e jour avant Pâques au 7e jour après Pâques inclusivement (let. a), du 15 juillet au 15 août inclusivement (let. b), du 18 décembre au 2 janvier inclusivement (let. c) (art. 89C LPA ; cf art. 38 al. 4 LPGA). Le délai légal ne peut être prolongé (art. 16 al. 1 LPA ; cf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(circulaire sur</w:t>
      </w:r>
    </w:p>
    <w:p>
      <w:r>
        <w:t>A/5049/2017 - 4/5 - le contentieux, no 1012, cf. DTA 2002 n°9 p. 66 consid. 2 ; RAMA 1997 n° U 288, p. 442 consid. 2b). Lorsque la forme est écrite, la décision doit parvenir à la connaissance des intéressés ;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 de ce fait, subi un préjudice (ATF 122 I 99 consid. 3a/aa, 11 V 150 consid. 4c et les références ; RAMA 1997 n° U 288 p. 444 s. consid. 2b/bb ; ZBI 95/1994 p. 530 consid. 2).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Une restitution de délai peut être accordée, de manière exceptionnelle, à condition que le requérant ou son mandataire ait été empêché, sans sa faute, d’agir dans le délai fixé (art. 16 al. 3 LPA art. 41 al. 1 LPGA) et pour autant qu’une demande de restitution motivée, indiquant la nature de l’empêchement, soit présentée dans les 30 jours à compter de celui où il a cessé et que l'acte omis ait été accompli dans le même délai. 3. En l'espèce, il est établi que la décision litigieuse, datée du 14 novembre 2017, a été adressée à l’assuré sous pli recommandé. Dans un tel cas, la notification est réputée parfaite lorsque le destinataire a reçu le pli ou l’a retiré au guichet postal en cas d’absence lors du passage du facteur. S’il n’a pas été retiré, l’envoi recommandé est réputé avoir été communiqué le dernier jour du délai de sept jours, soit en l’occurrence le 21 novembre 2017. Les délais en jours ou en mois fixés par la loi ou par l'autorité ne courent toutefois pas du 18 décembre au 2 janvier inclusivement (art. 38 al. 4 let. c LPGA). Aussi le recours interjeté le 22 décembre 2017 l’a-t-il été en temps utile. 4. Le recours est, partant, recevable.</w:t>
      </w:r>
    </w:p>
    <w:p>
      <w:r>
        <w:t>A/5049/2017 - 5/5 -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