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ATAS/99/2016 vom 9. Februar 2016</w:t>
      </w:r>
    </w:p>
    <w:p>
      <w:r>
        <w:t>GE Cour de justice, 2016-02-09, FR</w:t>
      </w:r>
    </w:p>
    <w:p>
      <w:r>
        <w:rPr>
          <w:b/>
        </w:rPr>
        <w:t xml:space="preserve">Quelle: </w:t>
      </w:r>
      <w:r>
        <w:t>https://mcp.opencaselaw.ch/entscheid/ge_gerichte_ATAS_99_2016</w:t>
      </w:r>
    </w:p>
    <w:p>
      <w:r>
        <w:t>FR: GE_GERICHTE ATAS/99/2016 du 9 février 2016</w:t>
      </w:r>
    </w:p>
    <w:p>
      <w:r>
        <w:t>IT: GE_GERICHTE ATAS/99/2016 del 9 febbraio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w:t>
      </w:r>
    </w:p>
    <w:p>
      <w:r>
        <w:t>A/1333/2014 - 13/25 - compétence pour juger du cas d’espèce est ainsi établie, dès lors que le présent recours porte sur une décision de l’OAI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présent recours a été interjeté en temps utile (art. 60 al. 1 LPGA), dans le respect des exigences de forme et de contenu prévues par l’art. 61 let. b LPGA (cf. aussi art. 89B LPA), par une personne ayant qualité pour recourir (art. 59 LPGA). c. Il sera donc déclaré recevable.</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différentes modifications qu’a subies la LAI notamment depuis que le recourant a déposé sa demande de prestations de l’AI, le 24 octobre 2011,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 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présent recours porte sur le droit du recourant à des prestations de l’AI, en particulier à des mesures de réadaptation (art. 8 ss LAI) ou à une rente d’invalidité (art. 28 ss LAI). L’intimé retient que le recourant ne subit pas d’atteinte à la santé</w:t>
      </w:r>
    </w:p>
    <w:p>
      <w:r>
        <w:t>A/1333/2014 - 14/25 - qui soit invalidante, autrement dit que son atteinte à la santé n’a aucune influence sur sa capacité de travail et de gain, et qu’elle ne l’empêche pas d’avoir une activité professionnelle. Aussi lui nie-t-il le droit tant à des mesures d’ordre professionnel qu’à une rente d’invalidité. Le recourant conteste cette décision en des termes assez généraux dont se déduit, au-delà de l’imprécision de ses écritures à cet égard, qu’il conclut principalement à l’octroi de mesures d’ordre professionnel (une « aide à l’insertion » [selon son recours du 12 mai 2014], des « mesures d’intégration professionnelle » [selon sa réplique du 24 juillet 2014], des « moyens de réadaptation » pour sortir de l’aide sociale [selon ses courriers des 13 et 21 novembre 2014], de l’« expérience de réadaptation professionnelle » de l’AI [selon son courrier du 24 octobre 2015]), mais aussi, subsidiairement, à l’octroi d’une rente d’invalidité.</w:t>
      </w:r>
    </w:p>
    <w:p>
      <w:r>
        <w:rPr>
          <w:b/>
        </w:rPr>
        <w:t>E. 4</w:t>
      </w:r>
    </w:p>
    <w:p>
      <w:r>
        <w:t>a. Au titre des prestations que prévoit la LAI figurent les mesures de réadaptation, qui sont destinées aux assurés invalides ou menacés d’invalidité (art. 8 al. 1 in initio LAI). L’octroi de ces mesures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b. Selon l’art. 14a LAI,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socioprofessionnelles et mesures d’occupation, en tant qu’elles visent la réadaptation professionnelle (al. 2). Ces mesures ont pour but d’améliorer les instruments de réadaptation pour le groupe des malades psychiques ; les mesures socioprofessionnelles doivent permettre l’accoutumance au processus de travail, la stimulation de la motivation, la stabilisation de la personnalité, la socialisation de base, et les mesures d’occupation sont axées sur la réinsertion professionnelle (art. 4quater ss du règlement sur l’assurance-invalidité du 17 janvier 1961 - RAI - RS 831.201 ; Pierre-Yves GREBER, op. cit., n. 254 ss ; Michel VALTERIO, Droit de l’assurance-vieillesse et survivants et de l’assurance- invalidité. Commentaire thématique, 2011, n. 1594 ss). c. La LAI prévoit, à ses art. 15 ss, plusieurs mesures d’ordre professionnel, à savoir l’orientation professionnelle, la formation professionnelle initiale, le reclassement professionnel, le placement, l’allocation d’initiation au travail, l’aide en capital, les indemnités journalières (art. 5 à 7 RAI ; Pierre-Yves GREBER, op. cit., n. 287 ss ;</w:t>
      </w:r>
    </w:p>
    <w:p>
      <w:r>
        <w:t>A/1333/2014 - 15/25 - Michel VALTERIO, op. cit., n. 1615 ss, 1626 ss, 1674 ss, 1717 ss, 1732 ss, 1739 ss).</w:t>
      </w:r>
    </w:p>
    <w:p>
      <w:r>
        <w:rPr>
          <w:b/>
        </w:rPr>
        <w:t>E. 5</w:t>
      </w:r>
    </w:p>
    <w:p>
      <w:r>
        <w:t>a. Quant à lui,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op. cit., n. 156 ss, 160 ss). c. Les atteintes à la santé psychique et mentale peuvent, comme les atteintes physiques, entraîner une invalidité au sens de l'art. 4 al. 1 LAI en liaison avec l'art. 8 LPGA. Il n’y a cependant incapacité de gain que si celle-ci n’est pas objectivement surmontable (art. 7 al. 2 phr. 2 LPGA). On ne considère dès lors pas comme des conséquences d'un état psychique maladif, donc pas comme des affections à prendre en charge par l'assurance-invalidité, les diminutions de la capacité de gain que l'assuré pourrait empêcher en faisant preuve de bonne volonté ;</w:t>
      </w:r>
    </w:p>
    <w:p>
      <w:r>
        <w:t>A/1333/2014 - 16/25 - la mesure de ce qui est exigible doit être déterminée aussi objectivement que possible (ATF 127 V 294, consid. 4c ; 102 V 165 ; VSI 2001 p. 224 consid. 2b et les références ; arrêt du Tribunal fédéral des assurances I 786/04 du 19 janvier 2006 consid. 3.1).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d.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w:t>
      </w:r>
    </w:p>
    <w:p>
      <w:r>
        <w:t>A/1333/2014 - 17/25 -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du Tribunal fédéral 9C_395/2007 du 15 avril 2008 consid. 2.4).</w:t>
      </w:r>
    </w:p>
    <w:p>
      <w:r>
        <w:rPr>
          <w:b/>
        </w:rPr>
        <w:t>E. 6</w:t>
      </w:r>
    </w:p>
    <w:p>
      <w:r>
        <w:t>Si l'invalidité est une notion juridique mettant l’accent sur les conséquences économiques d’une atteinte à la santé, elle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L’exigence d’un fondement médical à l’invalidité vaut aussi pour les mesures de réadaptation, non seulement pour les mesures médicales (art. 12 s. LAI ; ATAS/427/2015 du 16 juin 2015 consid. 6a), mais également pour les mesures d’ordre professionnel, puisque, de façon générale, l’assuré doit être invalide ou menacé d’invalidité pour avoir droit à de telles mesures, à teneur même de l’art. 8 al. 1 LAI, qui, à l’instar de l’art. 4 al. 1 LAI, renvoie à la définition générale de l’invalidité figurant à l’art. 8 LPGA. Cependant, pour l’octroi de mesures de réadaptation, il n’est pas nécessaire que l’invalidité ait atteint le degré minimum ouvrant le droit à une rente d’invalidité ; il suffit que sa nature et sa gravité soient telles qu’elle puisse ouvrir droit aux prestations entrant en considération (art. 4 al. 2 LAI), et il y a menace d’invalidité lorsqu’il est établi au degré de vraisemblance prépondérante que l’assuré perdra sa capacité de gain (art. 1novies RAI ; Pierre-Yves GREBER, op. cit., n. 260 s. ; Michel VALTERIO, op. cit., n. 1324 ss).</w:t>
      </w:r>
    </w:p>
    <w:p>
      <w:r>
        <w:rPr>
          <w:b/>
        </w:rPr>
        <w:t>E. 7</w:t>
      </w:r>
    </w:p>
    <w:p>
      <w:r>
        <w:t>a. La maxime inquisitoire régit la procédure (non contentieuse et contentieuse) en matière d’assurances sociales. L’assureur social (ou, en cas de litige, le juge) établit d’office les faits déterminants, sans préjudice de la collaboration des parties (art. 43</w:t>
      </w:r>
    </w:p>
    <w:p>
      <w:r>
        <w:t>A/1333/2014 - 18/25 - et 61 let. c LPGA ; Ghislaine FRÉSARD-FELLAY, Procédure et contentieux, in Ghislaine FRÉSARD-FELLAY / Bettina KAHIL-WOLFF / Stéphanie PERRENOUD, Droit suisse de la sécurité sociale, vol. II, 2015, n. 27 ss).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Sans remettre en question ce principe de libre appréciation des preuves, la jurisprudence a développé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w:t>
      </w:r>
    </w:p>
    <w:p>
      <w:r>
        <w:t>A/1333/2014 - 19/25 -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A/1333/2014 - 20/25 - une instruction complémentaire sous la forme d'une nouvelle expertise médicale (ATF 125 V 351 consid. 3b/aa et les références).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8</w:t>
      </w:r>
    </w:p>
    <w:p>
      <w:r>
        <w:t>a. En l’espèce, selon l’intimé, le recourant ne subirait pas d’atteinte à la santé qui soit invalidante ; son atteinte à la santé n’aurait aucune influence sur sa capacité de travail et de gain ; elle ne l’empêcherait pas d’avoir une activité professionnelle. b. L’intimé a fondé son avis sur le rapport d’expertise établi le 22 janvier 2014 par le Dr G______, spécialiste FMH en psychiatrie et psychothérapie. Selon ce dernier, le recourant ne souffrait ni d’un trouble dépressif ou anxieux, ni d’un trouble psychotique franc ; il présentait certes des traits de la personnalité schizoïde, toutefois sans remplir les critères d’un trouble de la personnalité, en tout état pas suffisamment grave pour être incapacitant en soi. Il n’avait pas non plus d’atteinte à la santé physique ou mentale causée par la toxicomanie et incapacitante en soi, même si on pouvait conclure à un syndrome de dépendance aux opiacés. Il n’avait jamais eu d’incapacité de travail sur la durée pour cause de maladie psychiatrique. c. Le dossier comporte à cet égard plusieurs avis médicaux divergents, exprimés tant antérieurement que postérieurement au rapport d’expertise du Dr G______. Ainsi, le médecin traitant du recourant – à savoir le Dr B______, spécialiste FMH en médecine interne – a posé le 14 décembre 2011 et réaffirmé les 20 juin 2012 et 27 février 2013 le diagnostic de trouble de la personnalité de type schizoïde (F60.1), avec effet sur la capacité de travail, depuis l’adolescence, en plus du diagnostic de troubles mentaux et du comportement liés à l’utilisation d’opiacés (F11.25 et F11.22), quant à eux sans effet sur la capacité de travail. Selon un rapport du 25 avril 2014 de la Dresse H______, spécialiste FMH en psychiatrie et psychothérapie, le recourant souffrait, en plus d’un syndrome de dépendance aux opiacés, d’un trouble anxio-dépressif, en voie de rémission sous traitement approprié, et sa capacité de travail en était affectée. Moins de deux mois plus tard, soit le 16 juin 2014, le Dr J______, lui aussi spécialiste FMH en psychiatrie et psychothérapie, a relevé chez le recourant des symptômes compatibles avec un diagnostic de psychose de type schizophrénique (évocateurs de schizophrénie simple [F20.6], de schizophrénie hébéphrénique [F20.1] et de</w:t>
      </w:r>
    </w:p>
    <w:p>
      <w:r>
        <w:t>A/1333/2014 - 21/25 - troubles schizotypique [F22]), pouvant au surplus expliquer sa dépendance aux opiacés, et le rendant incapable de travailler. Nonobstant les apparences de force probante que pouvait avoir le rapport d’expertise du Dr G______, ces avis divergents comportaient suffisamment d’éléments justifiant d’ordonner une expertise judiciaire. En particulier, si ceux du Dr B______ émanaient du médecin traitant non spécialiste de la discipline médicale considérée (la psychiatrie), ils étaient à la fois circonstanciés et pondérés, et étaient établis par un médecin connaissant bien le recourant pour l’avoir suivi régulièrement depuis novembre 2006. Le Dr J______ avait relevé notamment les risques, eu égard à l’attitude du recourant, que les troubles de ce dernier échappent à l’observateur et souligné la nécessité d’un examen approfondi, ce qu’a confirmé le rapport de la Dresse K______ du 20 septembre 2015. d. Sur le plan formel, cette expertise judiciaire remplit les exigences auxquelles la jurisprudence soumet la valeur probante d'un tel document. Les conclusions rendues par la Dresse K______ résultent d'une analyse complète de la situation médicale. Le rapport en question contient un résumé du dossier, une anamnèse détaillée, les indications subjectives du recourant, des observations cliniques ainsi que, pour finir, une discussion générale du cas. Il sied également de relever, d’ailleurs aussi au crédit de la valeur matérielle dudit rapport, que l’experte judicaire a fondé son rapport sur quatre entretiens d’une heure avec le recourant, un entretien avec le Dr B______ et un entretien avec le Dr J______, en plus de la lecture du dossier ; le défaut d’entretien avec le Dr G______ tient au fait que ce dernier n’a pas souhaité s’exprimer. Sur le fond, l’avis de l’experte judiciaire n’est pas diamétralement opposé à celui du Dr G______, d’une part en tant qu’il écarte le diagnostic de dépression et d’autre part en tant qu’il situe bien la problématique psychiatrique du recourant dans le domaine de la personnalité schizoïde, en retenant cependant non seulement des traits d’une telle personnalité mais en posant le diagnostic de trouble de la personnalité schizoïde, ayant valeur de maladie mentale générant un handicap très important. Cet avis rejoint celui du Dr B______, qui, lui aussi, avait posé ce diagnostic. Il n’est pas au surplus en contradiction avec l’avis qu’avait exprimé le Dr J______ (tout en soulignant la nécessité d’un examen encore plus approfondi), dès lors que ledit trouble se situe dans le territoire très proche du trouble psychotique évoqué par ledit psychiatre. Dans une approche confortant la pertinence de l’avertissement du Dr J______ quant au risque que les troubles du recourant soient masqués par le caractère en apparence combattif et argumentatif de ce dernier, la Dresse K______ a relevé et analysé à la fois divers traits relevant de la normalité et le mode de fonctionnement du recourant, caractérisé, au-delà des apparences, par des angoisses, la recherche de l’isolement, la fuite devant les interactions sociales, amicales et affectives, un émoussement des émotions, ainsi que la victimisation, la projectivité et le déni, autant de caractéristiques dénotant des problèmes structurels de la personnalité, liés à des processus de blocage</w:t>
      </w:r>
    </w:p>
    <w:p>
      <w:r>
        <w:t>A/1333/2014 - 22/25 - survenus précocement dans son développement psychique. Les objections soulevées par le SMR notamment quant à une faible importance ou gravité de souffrance personnelle, d’isolement, de manifestations de crises, d’instabilité, ne convainquent pas que le diagnostic posé par l’experte judiciaire pourrait être erroné, d’autant moins d’ailleurs qu’il n’apparaît pas qu’elles émaneraient d’un spécialiste de la discipline médicale ici déterminante et qu’elles tendent surtout à remettre en cause l’effet dudit diagnostic sur la capacité de travail du recourant. À ce dernier sujet, l’avis du Dr G______, repris par le SMR et l’intimé, est isolé ; sans préjudice des remarques formulées plus loin à propos d’un pronostic d’amélioration de la capacité de travail du recourant, il y a entre les autres médecins s’étant exprimés (soit les Drs B______, H______, J______ et K______) une convergence convaincante que le recourant est affecté dans sa capacité de travail par le trouble dont il souffre. S’agissant de la dépendance du recourant aux opiacés, en elle-même admise par chacun des médecins, elle noircit assurément le tableau, mais il subsiste un doute qu’elle participe en l’espèce de l’invalidité que présente le recourant, conçue juridiquement, dans le sens soit qu’elle aurait provoqué son atteinte à la santé, soit qu’elle résulterait de ladite atteinte à la santé. Le Dr B______ ne s’est pas prononcé à ce propos. Pour le Dr G______, le recourant ne présentait pas de troubles psychiatriques qui seraient un facteur causal plus ou moins déterminant de sa toxicomanie. La Dresse H______ a simplement relevé que le recourant avait manifesté son état d’anxiété handicapant depuis son adolescence, époque à laquelle il avait commencé à consommer du cannabis quotidiennement pour se calmer et ne plus ressentir son anxiété, puis de l’héroïne depuis l’âge de 24 ans. Le Dr J______ a émis l’hypothèse, présentée comme une possibilité, que les troubles psychiatriques du recourant expliquent sa dépendance aux opiacés, qui avaient pu servir d’automédication permettant d’un atténuer les manifestations. Invitée par le mandat d’expertise à se déterminer sur la question, l’experte judiciaire a relevé que, chez le recourant, l’apparition d’angoisses primitives avait précédé la prise de toxiques, et que son trouble de la personnalité schizoïde avait probablement été à l’origine de la prise de cannabis et du passage ultérieur du cannabis à l’héroïne ; en réponse à la question spécifique, elle a indiqué qu’en plus de ses troubles, le recourant présentait des troubles mnésiques pouvant être en partie imputables à sa toxicomanie, et elle a jouté que, malgré une substitution à la méthadone, il continuait à consommer épisodiquement de l’héroïne, utilisée comme anxiolytique. Dans ces conditions, il n’est pas établi au degré de vraisemblance prépondérante que la comorbidité psychiatrique du recourant constitue davantage qu’une cause le cas échéant secondaire de sa dépendance aux opiacés. e. Si la toxicomanie ne peut en l’espèce être retenue comme représentant une cause d’invalidité, il n’en demeure pas moins que, contrairement à ce qu’a retenu l’intimé, le recourant souffre d’une atteinte à la santé, dont le diagnostic posé – de façon convaincante pour le moins au degré de la vraisemblance prépondérante, et</w:t>
      </w:r>
    </w:p>
    <w:p>
      <w:r>
        <w:t>A/1333/2014 - 23/25 - donc retenu par la chambre de céans – est celui de trouble de la personnalité schizoïde depuis l’adolescence, et que ce trouble, constitutif en l’occurrence d’un trouble mental grave, a été très durablement et apparaît demeurer source d’une incapacité de travail importante, dont – pour les motifs qui suivent – il suffit ici de préciser qu’elle était et reste (à tout le moins jusqu’au moment où l’intimé a rendu sa décision) supérieure à 50 %, sinon était et demeure totale. Le motif pour lequel l’intimé a refusé toute prestation de l’AI au recourant s’avère donc mal fondé.</w:t>
      </w:r>
    </w:p>
    <w:p>
      <w:r>
        <w:rPr>
          <w:b/>
        </w:rPr>
        <w:t>E. 9</w:t>
      </w:r>
    </w:p>
    <w:p>
      <w:r>
        <w:t>a. Du fait qu’il a nié toute invalidité, même toute incapacité de travail, l’intimé ne s’est pas prononcé sur le point de savoir si, en cas de réponse inverse à cette question, le recourant remplirait les autres conditions d’octroi de mesures de réadaptation, le cas échéant de laquelle ou desquelles, ou d’une rente d’invalidité, le cas échéant fondée sur quel taux d’invalidité à retenir. Il ne s’est pas non plus déterminé sur ces questions au cours de la présente procédure. Or, il importe que l'autorité administrative compétente se soit prononcée préalablement sur ces questions d'une manière qui la lie, sous la forme d'une décision, avant que le tribunal des assurances (art. 57 LPGA) – soit la chambre de céans (art. 134 LOJ) – ne les examine. Si aucune décision n'a été rendue, la contestation n'a pas d'objet, et un jugement sur le fond ne peut pas être prononcé (ATF 131 V 164 consid. 2.1 ; 125 V 413 consid. 1a ; 119 Ib 36 consid. 1b et les références citées ; ATAS/938/2015 du 8 décembre 2015 consid. 2a). Aussi s’impose-t-il d’annuler la décision attaquée et de renvoyer la cause à l’intimé pour nouvelle décision, au besoin après avoir ordonné une instruction complémentaire sur les points pertinents et une nécessaire actualisation du dossier (ATAS/795/2015 du 20 octobre 2015 consid. 9). b. Cette issue s’impose d’autant plus que le dossier ne comporte pas suffisamment d’éléments qui permettraient à la chambre de céans de statuer sur les questions précitées. Or, sied-t-il de rappeler, l’octroi d’une rente d’invalidité suppose que des mesures de réadaptation n’entrent pas en considération pour rétablir (ou maintenir ou améliorer) la capacité de gain (ou d’accomplir des travaux habituels) de l’assuré (art. 8 et 28 al. 1 LAI). À tout le moins principalement, le recourant, y compris encore dans ses observations finales du 24 octobre 2015, demande à bénéficier de mesures de réadaptation. Le Dr B______ a exprimé l’avis que des mesures de réadaptation, en particulier un suivi psychologique régulier, était susceptible de réduire l’incapacité de travail du recourant, au point qu’une reprise d’activité à 50 % apparaîtrait envisageable au bout de deux à trois ans. Le Dr G______ lui-même a indiqué que, sur le plan professionnel, le recourant pourrait « peut-être bénéficier d’une aide au placement, pour le cas où il y aurait droit ». Selon la Dresse H______, des mesures d’intégration étaient nécessaires pour que le recourant puisse intégrer le marché du travail. De son côté, le Dr J______ a conditionné le suivi d’un programme de</w:t>
      </w:r>
    </w:p>
    <w:p>
      <w:r>
        <w:t>A/1333/2014 - 24/25 - réinsertion professionnelle à une prise en charge spécialisée. La Dresse K______ s’est montrée très réservée quant aux perspectives de reprise d’une activité lucrative par le recourant, ne serait-ce qu’à terme ; pour elle, une psychothérapie avait peu de chance d’aboutir chez le recourant, mais il semblerait pertinent d’accompagner la prise en charge médicale adéquate entreprise par le médecin traitant par une activité adaptée à son trouble ; la capacité de travail ne pourrait être améliorée par des mesures médicales, mais une activité occupationnelle semblait envisageable en vue d’une éventuelle réintégration professionnelle. Il ne se dégage pas de ces avis et rapports médicaux une réponse claire et emportant la conviction au degré de vraisemblance suffisante quant à l’octroi ou au refus de mesures de réadaptation.</w:t>
      </w:r>
    </w:p>
    <w:p>
      <w:r>
        <w:rPr>
          <w:b/>
        </w:rPr>
        <w:t>E. 10</w:t>
      </w:r>
    </w:p>
    <w:p>
      <w:r>
        <w:t>Le recours étant admis, un émolument doit être mis à la charge en l’occurrence de l’intimé, étant précisé qu’en dérogation à l’art. 61 let. a LPGA, l’art. 69 al. 1bis LAI prévoit que la procédure de recours en matière de contestation portant sur l’octroi ou le refus de prestations de l’AI devant le tribunal cantonal des assurances est soumise à des frais de justice, dont le montant doit se situer entre CHF 200.- et CHF 1'000.-, indépendamment de la valeur litigieuse. En l’espèce, ledit émolument sera arrêté à CHF 200.-. Le recourant n’est pas représenté par un mandataire professionnellement qualifié, et il n’allègue ni ne démontre avoir eu des frais particuliers en lien avec le présent recours. Il ne lui sera pas alloué d’indemnité (art. 61 let. g LPGA). * * * * * *</w:t>
      </w:r>
    </w:p>
    <w:p>
      <w:r>
        <w:t>A/1333/2014 - 25/25 -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